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728409" w14:textId="083CCCE6" w:rsidR="00D30E94" w:rsidRDefault="00A506A5">
      <w:pPr>
        <w:pStyle w:val="3GPPHeader"/>
        <w:spacing w:after="60"/>
      </w:pPr>
      <w:r>
        <w:rPr>
          <w:lang w:val="en-US"/>
        </w:rPr>
        <w:t>3GPP TSG-RAN WG4 #86</w:t>
      </w:r>
      <w:r w:rsidR="00FC7196">
        <w:rPr>
          <w:lang w:val="en-US"/>
        </w:rPr>
        <w:t>bis</w:t>
      </w:r>
      <w:r>
        <w:rPr>
          <w:lang w:val="en-US"/>
        </w:rPr>
        <w:tab/>
      </w:r>
      <w:r>
        <w:rPr>
          <w:sz w:val="32"/>
          <w:szCs w:val="32"/>
          <w:lang w:val="en-US"/>
        </w:rPr>
        <w:t>R4-</w:t>
      </w:r>
      <w:r>
        <w:rPr>
          <w:lang w:val="en-US"/>
        </w:rPr>
        <w:t xml:space="preserve"> </w:t>
      </w:r>
      <w:r>
        <w:rPr>
          <w:sz w:val="32"/>
          <w:szCs w:val="32"/>
          <w:lang w:val="en-US"/>
        </w:rPr>
        <w:t>18</w:t>
      </w:r>
      <w:r w:rsidR="00AB3954">
        <w:rPr>
          <w:sz w:val="32"/>
          <w:szCs w:val="32"/>
          <w:lang w:val="en-US"/>
        </w:rPr>
        <w:t>05047</w:t>
      </w:r>
    </w:p>
    <w:p w14:paraId="213FF236" w14:textId="29128403" w:rsidR="00D30E94" w:rsidRDefault="00FC7196">
      <w:pPr>
        <w:pStyle w:val="3GPPHeader"/>
        <w:rPr>
          <w:lang w:val="en-US"/>
        </w:rPr>
      </w:pPr>
      <w:r>
        <w:rPr>
          <w:lang w:val="en-US"/>
        </w:rPr>
        <w:t>Melbourne</w:t>
      </w:r>
      <w:r w:rsidR="00A506A5">
        <w:rPr>
          <w:lang w:val="en-US"/>
        </w:rPr>
        <w:t>,</w:t>
      </w:r>
      <w:r>
        <w:rPr>
          <w:lang w:val="en-US"/>
        </w:rPr>
        <w:t xml:space="preserve"> Australia,</w:t>
      </w:r>
      <w:r w:rsidR="00A506A5">
        <w:rPr>
          <w:lang w:val="en-US"/>
        </w:rPr>
        <w:t xml:space="preserve"> </w:t>
      </w:r>
      <w:r>
        <w:rPr>
          <w:lang w:val="en-US"/>
        </w:rPr>
        <w:t>April 16-20</w:t>
      </w:r>
      <w:r w:rsidR="00A506A5">
        <w:rPr>
          <w:lang w:val="en-US"/>
        </w:rPr>
        <w:t>, 2018</w:t>
      </w:r>
    </w:p>
    <w:p w14:paraId="2D3BCA27" w14:textId="77777777" w:rsidR="00D30E94" w:rsidRDefault="00A506A5">
      <w:pPr>
        <w:spacing w:after="120"/>
        <w:ind w:left="1985" w:hanging="1985"/>
      </w:pPr>
      <w:r>
        <w:rPr>
          <w:rFonts w:ascii="Arial" w:hAnsi="Arial" w:cs="Arial"/>
          <w:b/>
          <w:lang w:val="en-US"/>
        </w:rPr>
        <w:t>Source:</w:t>
      </w:r>
      <w:r>
        <w:rPr>
          <w:rFonts w:ascii="Arial" w:hAnsi="Arial" w:cs="Arial"/>
          <w:b/>
          <w:lang w:val="en-US"/>
        </w:rPr>
        <w:tab/>
      </w:r>
      <w:r>
        <w:rPr>
          <w:rFonts w:ascii="Arial" w:hAnsi="Arial" w:cs="Arial"/>
          <w:bCs/>
          <w:lang w:val="en-US"/>
        </w:rPr>
        <w:t>Ericsson</w:t>
      </w:r>
    </w:p>
    <w:p w14:paraId="69C6F28D" w14:textId="2AEBEE37" w:rsidR="00D30E94" w:rsidRDefault="00A506A5">
      <w:pPr>
        <w:spacing w:after="120"/>
        <w:ind w:left="1985" w:hanging="1985"/>
      </w:pPr>
      <w:r>
        <w:rPr>
          <w:rFonts w:ascii="Arial" w:hAnsi="Arial" w:cs="Arial"/>
          <w:b/>
          <w:lang w:val="en-US"/>
        </w:rPr>
        <w:t>Title:</w:t>
      </w:r>
      <w:r>
        <w:rPr>
          <w:rFonts w:ascii="Arial" w:hAnsi="Arial" w:cs="Arial"/>
          <w:b/>
          <w:lang w:val="en-US"/>
        </w:rPr>
        <w:tab/>
      </w:r>
      <w:r w:rsidR="00665395">
        <w:rPr>
          <w:rFonts w:ascii="Arial" w:hAnsi="Arial" w:cs="Arial"/>
          <w:b/>
          <w:lang w:val="en-US"/>
        </w:rPr>
        <w:t xml:space="preserve">TP to TR 37.843: </w:t>
      </w:r>
      <w:r>
        <w:rPr>
          <w:rFonts w:ascii="Arial" w:hAnsi="Arial" w:cs="Arial"/>
          <w:lang w:val="en-US"/>
        </w:rPr>
        <w:t xml:space="preserve">TRP </w:t>
      </w:r>
      <w:r w:rsidR="00665395">
        <w:rPr>
          <w:rFonts w:ascii="Arial" w:hAnsi="Arial" w:cs="Arial"/>
          <w:lang w:val="en-US"/>
        </w:rPr>
        <w:t>test method</w:t>
      </w:r>
      <w:r>
        <w:rPr>
          <w:rFonts w:ascii="Arial" w:hAnsi="Arial" w:cs="Arial"/>
          <w:lang w:val="en-US"/>
        </w:rPr>
        <w:t xml:space="preserve"> for unwanted emissions for </w:t>
      </w:r>
      <w:proofErr w:type="spellStart"/>
      <w:r w:rsidR="00FC7196">
        <w:rPr>
          <w:rFonts w:ascii="Arial" w:hAnsi="Arial" w:cs="Arial"/>
          <w:lang w:val="en-US"/>
        </w:rPr>
        <w:t>e</w:t>
      </w:r>
      <w:r>
        <w:rPr>
          <w:rFonts w:ascii="Arial" w:hAnsi="Arial" w:cs="Arial"/>
          <w:lang w:val="en-US"/>
        </w:rPr>
        <w:t>AAS</w:t>
      </w:r>
      <w:proofErr w:type="spellEnd"/>
      <w:r>
        <w:rPr>
          <w:rFonts w:ascii="Arial" w:hAnsi="Arial" w:cs="Arial"/>
          <w:lang w:val="en-US"/>
        </w:rPr>
        <w:t xml:space="preserve"> BS</w:t>
      </w:r>
    </w:p>
    <w:p w14:paraId="1053EC25" w14:textId="0346CD08" w:rsidR="00D30E94" w:rsidRDefault="00A506A5">
      <w:pPr>
        <w:spacing w:after="120"/>
        <w:ind w:left="1985" w:hanging="1985"/>
      </w:pPr>
      <w:r>
        <w:rPr>
          <w:rFonts w:ascii="Arial" w:hAnsi="Arial" w:cs="Arial"/>
          <w:b/>
          <w:lang w:val="en-US"/>
        </w:rPr>
        <w:t>Agenda item:</w:t>
      </w:r>
      <w:r>
        <w:rPr>
          <w:rFonts w:ascii="Arial" w:hAnsi="Arial" w:cs="Arial"/>
          <w:lang w:val="en-US"/>
        </w:rPr>
        <w:tab/>
        <w:t>6.2</w:t>
      </w:r>
      <w:r w:rsidR="00665395">
        <w:rPr>
          <w:rFonts w:ascii="Arial" w:hAnsi="Arial" w:cs="Arial"/>
          <w:lang w:val="en-US"/>
        </w:rPr>
        <w:t>6</w:t>
      </w:r>
      <w:r>
        <w:rPr>
          <w:rFonts w:ascii="Arial" w:hAnsi="Arial" w:cs="Arial"/>
          <w:lang w:val="en-US"/>
        </w:rPr>
        <w:t>.3.1</w:t>
      </w:r>
    </w:p>
    <w:p w14:paraId="7E970C39" w14:textId="0FBB742A" w:rsidR="00D30E94" w:rsidRDefault="00A506A5">
      <w:pPr>
        <w:spacing w:after="120"/>
        <w:ind w:left="1985" w:hanging="1985"/>
      </w:pPr>
      <w:r>
        <w:rPr>
          <w:rFonts w:ascii="Arial" w:hAnsi="Arial" w:cs="Arial"/>
          <w:b/>
          <w:lang w:val="en-US"/>
        </w:rPr>
        <w:t>Document for:</w:t>
      </w:r>
      <w:r>
        <w:rPr>
          <w:rFonts w:ascii="Arial" w:hAnsi="Arial" w:cs="Arial"/>
          <w:lang w:val="en-US"/>
        </w:rPr>
        <w:tab/>
      </w:r>
      <w:r w:rsidR="00665395">
        <w:rPr>
          <w:rFonts w:ascii="Arial" w:hAnsi="Arial" w:cs="Arial"/>
          <w:lang w:val="en-US"/>
        </w:rPr>
        <w:t>Approval</w:t>
      </w:r>
    </w:p>
    <w:p w14:paraId="7F7D9B33" w14:textId="77777777" w:rsidR="00D30E94" w:rsidRDefault="00A506A5">
      <w:pPr>
        <w:pStyle w:val="Heading1"/>
      </w:pPr>
      <w:r>
        <w:t>1.</w:t>
      </w:r>
      <w:r>
        <w:tab/>
        <w:t>Introduction</w:t>
      </w:r>
    </w:p>
    <w:p w14:paraId="10B7F8E7" w14:textId="62A4864F" w:rsidR="00D30E94" w:rsidRDefault="00A506A5">
      <w:r>
        <w:t xml:space="preserve">During previous RAN4 meetings, for both NR and </w:t>
      </w:r>
      <w:proofErr w:type="spellStart"/>
      <w:r>
        <w:t>eAAS</w:t>
      </w:r>
      <w:proofErr w:type="spellEnd"/>
      <w:r>
        <w:t>, we have discussed a new test method for practical testing TRP for unwanted emissions. Testing OTA unwanted emission requirements will require new test approach to be adopted to minimize complexity and test time while still ensuring an accurate TRP measurement.  Aspects such as measurement distance and spatial measurement grids need to be considered and are fundamental to all test methods.</w:t>
      </w:r>
      <w:r w:rsidR="00187034">
        <w:t xml:space="preserve"> </w:t>
      </w:r>
    </w:p>
    <w:p w14:paraId="63630934" w14:textId="330EAF85" w:rsidR="00412BC4" w:rsidRDefault="00FC7196">
      <w:r>
        <w:t xml:space="preserve">In this TP </w:t>
      </w:r>
      <w:r w:rsidR="00694C22">
        <w:t xml:space="preserve">for TR </w:t>
      </w:r>
      <w:r>
        <w:t>we introduce the</w:t>
      </w:r>
      <w:r w:rsidR="00A506A5">
        <w:t xml:space="preserve"> method </w:t>
      </w:r>
      <w:r>
        <w:t>previously described in</w:t>
      </w:r>
      <w:r w:rsidR="00A506A5">
        <w:t xml:space="preserve"> [1</w:t>
      </w:r>
      <w:r>
        <w:t>]</w:t>
      </w:r>
      <w:r w:rsidR="006F431F">
        <w:t xml:space="preserve"> and</w:t>
      </w:r>
      <w:r>
        <w:t xml:space="preserve"> [</w:t>
      </w:r>
      <w:r w:rsidR="00A506A5">
        <w:t>2]</w:t>
      </w:r>
      <w:r w:rsidR="00933025">
        <w:t xml:space="preserve"> and </w:t>
      </w:r>
      <w:proofErr w:type="gramStart"/>
      <w:r w:rsidR="00933025">
        <w:t>a number of</w:t>
      </w:r>
      <w:proofErr w:type="gramEnd"/>
      <w:r w:rsidR="00933025">
        <w:t xml:space="preserve"> clarifications</w:t>
      </w:r>
      <w:r w:rsidR="00694C22">
        <w:t xml:space="preserve"> regarding the calculation of the systematic </w:t>
      </w:r>
      <w:r w:rsidR="008B3E39">
        <w:t>correction</w:t>
      </w:r>
      <w:r w:rsidR="00694C22">
        <w:t xml:space="preserve"> for TRP, near-field measurements, and pre-scan procedure. </w:t>
      </w:r>
      <w:r w:rsidR="00C62ED7">
        <w:t xml:space="preserve">The proposed </w:t>
      </w:r>
      <w:r w:rsidR="00933E04">
        <w:t>test report structure in R4-1803388 will be followed.</w:t>
      </w:r>
    </w:p>
    <w:p w14:paraId="70DAFB1D" w14:textId="68F891AD" w:rsidR="00665395" w:rsidRDefault="00694C22" w:rsidP="00412BC4">
      <w:r>
        <w:t>We point at the fact that a</w:t>
      </w:r>
      <w:r w:rsidR="00412BC4">
        <w:t xml:space="preserve"> fine measurement grid</w:t>
      </w:r>
      <w:r>
        <w:t xml:space="preserve"> (e.g. implying large testing time)</w:t>
      </w:r>
      <w:r w:rsidR="00412BC4">
        <w:t xml:space="preserve"> </w:t>
      </w:r>
      <w:r>
        <w:t>will</w:t>
      </w:r>
      <w:r w:rsidR="00412BC4">
        <w:t xml:space="preserve"> be needed only for the emissions which are identified to be close to the limits.</w:t>
      </w:r>
      <w:r w:rsidR="00665395">
        <w:t xml:space="preserve"> </w:t>
      </w:r>
      <w:r w:rsidR="00412BC4">
        <w:t>In case the EUT is capable of narrow beamforming and beam-tracking, a method based on beam sweeping is also proposed to reduce the test time and improve the reliability of the method.</w:t>
      </w:r>
    </w:p>
    <w:p w14:paraId="44365F9A" w14:textId="77777777" w:rsidR="00665395" w:rsidRDefault="00665395" w:rsidP="00665395">
      <w:pPr>
        <w:pStyle w:val="Heading1"/>
      </w:pPr>
      <w:r>
        <w:t>References</w:t>
      </w:r>
    </w:p>
    <w:p w14:paraId="74FE616C" w14:textId="77777777" w:rsidR="00665395" w:rsidRDefault="00665395" w:rsidP="00665395">
      <w:pPr>
        <w:pStyle w:val="Reference"/>
        <w:rPr>
          <w:rFonts w:ascii="Times New Roman" w:hAnsi="Times New Roman"/>
          <w:lang w:val="en-US"/>
        </w:rPr>
      </w:pPr>
      <w:bookmarkStart w:id="0" w:name="_Ref174151459"/>
      <w:bookmarkStart w:id="1" w:name="_Ref189809556"/>
      <w:r>
        <w:rPr>
          <w:rFonts w:ascii="Times New Roman" w:hAnsi="Times New Roman"/>
          <w:lang w:val="en-US"/>
        </w:rPr>
        <w:t>R4-</w:t>
      </w:r>
      <w:bookmarkEnd w:id="0"/>
      <w:bookmarkEnd w:id="1"/>
      <w:r>
        <w:rPr>
          <w:rFonts w:ascii="Times New Roman" w:hAnsi="Times New Roman"/>
          <w:lang w:val="en-US"/>
        </w:rPr>
        <w:t>1704857, “Introduction of test method for OTA unwanted emissions”, Ericsson</w:t>
      </w:r>
    </w:p>
    <w:p w14:paraId="5DEC5B34" w14:textId="77777777" w:rsidR="00665395" w:rsidRDefault="00665395" w:rsidP="00665395">
      <w:pPr>
        <w:pStyle w:val="Reference"/>
        <w:rPr>
          <w:rFonts w:ascii="Times New Roman" w:hAnsi="Times New Roman"/>
          <w:lang w:val="en-US"/>
        </w:rPr>
      </w:pPr>
      <w:r w:rsidRPr="009A32DF">
        <w:rPr>
          <w:rFonts w:ascii="Times New Roman" w:hAnsi="Times New Roman"/>
          <w:lang w:val="en-US"/>
        </w:rPr>
        <w:t xml:space="preserve">R4-1802899 “On TRP evaluation for unwanted emissions for AAS BS” Ericsson </w:t>
      </w:r>
    </w:p>
    <w:p w14:paraId="4F73B42E" w14:textId="77777777" w:rsidR="00665395" w:rsidRPr="00AB3954" w:rsidRDefault="00665395" w:rsidP="00665395">
      <w:pPr>
        <w:pStyle w:val="Reference"/>
        <w:rPr>
          <w:rFonts w:ascii="Times New Roman" w:hAnsi="Times New Roman"/>
          <w:highlight w:val="yellow"/>
          <w:lang w:val="en-US"/>
        </w:rPr>
      </w:pPr>
      <w:r w:rsidRPr="00AB3954">
        <w:rPr>
          <w:rFonts w:ascii="Times New Roman" w:hAnsi="Times New Roman"/>
          <w:highlight w:val="yellow"/>
          <w:lang w:val="en-US"/>
        </w:rPr>
        <w:t xml:space="preserve">“IEEE Standard Test Procedures for Antennas” ANSI/IEEE </w:t>
      </w:r>
      <w:proofErr w:type="spellStart"/>
      <w:r w:rsidRPr="00AB3954">
        <w:rPr>
          <w:rFonts w:ascii="Times New Roman" w:hAnsi="Times New Roman"/>
          <w:highlight w:val="yellow"/>
          <w:lang w:val="en-US"/>
        </w:rPr>
        <w:t>Std</w:t>
      </w:r>
      <w:proofErr w:type="spellEnd"/>
      <w:r w:rsidRPr="00AB3954">
        <w:rPr>
          <w:rFonts w:ascii="Times New Roman" w:hAnsi="Times New Roman"/>
          <w:highlight w:val="yellow"/>
          <w:lang w:val="en-US"/>
        </w:rPr>
        <w:t xml:space="preserve"> 149-1979</w:t>
      </w:r>
    </w:p>
    <w:p w14:paraId="24D41DD5" w14:textId="77777777" w:rsidR="00665395" w:rsidRPr="00AB3954" w:rsidRDefault="00665395" w:rsidP="00665395">
      <w:pPr>
        <w:pStyle w:val="Reference"/>
        <w:rPr>
          <w:rFonts w:ascii="Times New Roman" w:hAnsi="Times New Roman"/>
          <w:highlight w:val="yellow"/>
          <w:lang w:val="en-US"/>
        </w:rPr>
      </w:pPr>
      <w:r w:rsidRPr="00AB3954">
        <w:rPr>
          <w:rFonts w:ascii="Times New Roman" w:hAnsi="Times New Roman"/>
          <w:highlight w:val="yellow"/>
          <w:lang w:val="en-US"/>
        </w:rPr>
        <w:t xml:space="preserve">“IEEE Standard for Definition of Terms for Antennas” IEEE </w:t>
      </w:r>
      <w:proofErr w:type="spellStart"/>
      <w:r w:rsidRPr="00AB3954">
        <w:rPr>
          <w:rFonts w:ascii="Times New Roman" w:hAnsi="Times New Roman"/>
          <w:highlight w:val="yellow"/>
          <w:lang w:val="en-US"/>
        </w:rPr>
        <w:t>Std</w:t>
      </w:r>
      <w:proofErr w:type="spellEnd"/>
      <w:r w:rsidRPr="00AB3954">
        <w:rPr>
          <w:rFonts w:ascii="Times New Roman" w:hAnsi="Times New Roman"/>
          <w:highlight w:val="yellow"/>
          <w:lang w:val="en-US"/>
        </w:rPr>
        <w:t xml:space="preserve"> 145-2013</w:t>
      </w:r>
    </w:p>
    <w:p w14:paraId="7889350A" w14:textId="015960DC" w:rsidR="00665395" w:rsidRDefault="00665395" w:rsidP="00665395">
      <w:pPr>
        <w:pStyle w:val="Reference"/>
        <w:rPr>
          <w:rFonts w:ascii="Times New Roman" w:hAnsi="Times New Roman"/>
          <w:highlight w:val="yellow"/>
          <w:lang w:val="en-US"/>
        </w:rPr>
      </w:pPr>
      <w:proofErr w:type="spellStart"/>
      <w:r w:rsidRPr="00AB3954">
        <w:rPr>
          <w:rFonts w:ascii="Times New Roman" w:hAnsi="Times New Roman"/>
          <w:highlight w:val="yellow"/>
          <w:lang w:val="en-US"/>
        </w:rPr>
        <w:t>Hald</w:t>
      </w:r>
      <w:proofErr w:type="spellEnd"/>
      <w:r w:rsidRPr="00AB3954">
        <w:rPr>
          <w:rFonts w:ascii="Times New Roman" w:hAnsi="Times New Roman"/>
          <w:highlight w:val="yellow"/>
          <w:lang w:val="en-US"/>
        </w:rPr>
        <w:t xml:space="preserve">, J., Hansen, </w:t>
      </w:r>
      <w:proofErr w:type="gramStart"/>
      <w:r w:rsidRPr="00AB3954">
        <w:rPr>
          <w:rFonts w:ascii="Times New Roman" w:hAnsi="Times New Roman"/>
          <w:highlight w:val="yellow"/>
          <w:lang w:val="en-US"/>
        </w:rPr>
        <w:t>J.E:,</w:t>
      </w:r>
      <w:proofErr w:type="gramEnd"/>
      <w:r w:rsidRPr="00AB3954">
        <w:rPr>
          <w:rFonts w:ascii="Times New Roman" w:hAnsi="Times New Roman"/>
          <w:highlight w:val="yellow"/>
          <w:lang w:val="en-US"/>
        </w:rPr>
        <w:t xml:space="preserve"> Jensen, F. and Holm Larsen, F. ”Spherical Near-Field Antenna Measurements” Peter </w:t>
      </w:r>
      <w:proofErr w:type="spellStart"/>
      <w:r w:rsidRPr="00AB3954">
        <w:rPr>
          <w:rFonts w:ascii="Times New Roman" w:hAnsi="Times New Roman"/>
          <w:highlight w:val="yellow"/>
          <w:lang w:val="en-US"/>
        </w:rPr>
        <w:t>Pergrinus</w:t>
      </w:r>
      <w:proofErr w:type="spellEnd"/>
      <w:r w:rsidRPr="00AB3954">
        <w:rPr>
          <w:rFonts w:ascii="Times New Roman" w:hAnsi="Times New Roman"/>
          <w:highlight w:val="yellow"/>
          <w:lang w:val="en-US"/>
        </w:rPr>
        <w:t xml:space="preserve"> Ltd. 1988</w:t>
      </w:r>
    </w:p>
    <w:p w14:paraId="5CE59104" w14:textId="31930FE2" w:rsidR="002A51F2" w:rsidRPr="00072E5D" w:rsidRDefault="002A51F2" w:rsidP="00665395">
      <w:pPr>
        <w:pStyle w:val="Reference"/>
        <w:rPr>
          <w:rFonts w:ascii="Times New Roman" w:hAnsi="Times New Roman"/>
          <w:highlight w:val="yellow"/>
          <w:lang w:val="en-US"/>
        </w:rPr>
      </w:pPr>
      <w:proofErr w:type="spellStart"/>
      <w:r w:rsidRPr="002A51F2">
        <w:rPr>
          <w:highlight w:val="yellow"/>
          <w:lang w:val="en-US"/>
        </w:rPr>
        <w:t>Fridén</w:t>
      </w:r>
      <w:proofErr w:type="spellEnd"/>
      <w:r w:rsidRPr="002A51F2">
        <w:rPr>
          <w:highlight w:val="yellow"/>
          <w:lang w:val="en-US"/>
        </w:rPr>
        <w:t xml:space="preserve">, J.; Razavi, A. and Stjernman, A. “Angular sampling, Test Signal, and Near Field Aspects for Over-the-Air Total Radiated Power Assessment in Anechoic Chambers” </w:t>
      </w:r>
      <w:r w:rsidRPr="002A51F2">
        <w:rPr>
          <w:i/>
          <w:iCs/>
          <w:highlight w:val="yellow"/>
          <w:lang w:val="en-US"/>
        </w:rPr>
        <w:t xml:space="preserve">Submitted to a Journal, </w:t>
      </w:r>
      <w:r w:rsidRPr="002A51F2">
        <w:rPr>
          <w:b/>
          <w:bCs/>
          <w:highlight w:val="yellow"/>
          <w:lang w:val="en-US"/>
        </w:rPr>
        <w:t>2018</w:t>
      </w:r>
      <w:r w:rsidRPr="002A51F2">
        <w:rPr>
          <w:highlight w:val="yellow"/>
          <w:lang w:val="en-US"/>
        </w:rPr>
        <w:t xml:space="preserve">. Available online:  </w:t>
      </w:r>
      <w:hyperlink r:id="rId8" w:history="1">
        <w:r w:rsidR="00072E5D" w:rsidRPr="00425D76">
          <w:rPr>
            <w:rStyle w:val="Hyperlink"/>
            <w:highlight w:val="yellow"/>
            <w:lang w:val="en-US"/>
          </w:rPr>
          <w:t>https://arxiv.org/abs/1803.10993</w:t>
        </w:r>
      </w:hyperlink>
    </w:p>
    <w:p w14:paraId="3B68971A" w14:textId="6E347706" w:rsidR="00072E5D" w:rsidRPr="00053342" w:rsidRDefault="00072E5D" w:rsidP="00665395">
      <w:pPr>
        <w:pStyle w:val="Reference"/>
        <w:rPr>
          <w:rFonts w:ascii="Times New Roman" w:hAnsi="Times New Roman"/>
          <w:highlight w:val="yellow"/>
          <w:lang w:val="en-US"/>
        </w:rPr>
      </w:pPr>
      <w:r w:rsidRPr="00072E5D">
        <w:rPr>
          <w:highlight w:val="yellow"/>
          <w:lang w:val="en-US"/>
        </w:rPr>
        <w:t>CTIA, “Test plan for wireless device Over-the-Air performance — method of measurement for radiated RF power and receiver performance,” Certification Program Test Plan, Nov. 2016, version 3.6.1.</w:t>
      </w:r>
    </w:p>
    <w:p w14:paraId="0A55C9FE" w14:textId="77777777" w:rsidR="00053342" w:rsidRPr="00053342" w:rsidRDefault="00053342" w:rsidP="00053342">
      <w:pPr>
        <w:pStyle w:val="Reference"/>
        <w:rPr>
          <w:highlight w:val="yellow"/>
          <w:lang w:val="en-US"/>
        </w:rPr>
      </w:pPr>
      <w:r w:rsidRPr="00053342">
        <w:rPr>
          <w:highlight w:val="yellow"/>
        </w:rPr>
        <w:t>R4-1804502</w:t>
      </w:r>
      <w:proofErr w:type="gramStart"/>
      <w:r w:rsidRPr="00053342">
        <w:rPr>
          <w:highlight w:val="yellow"/>
        </w:rPr>
        <w:t xml:space="preserve">   “</w:t>
      </w:r>
      <w:proofErr w:type="gramEnd"/>
      <w:r w:rsidRPr="00053342">
        <w:rPr>
          <w:highlight w:val="yellow"/>
        </w:rPr>
        <w:t>Beam-sweeping considerations for OTA unwanted emission” Ericsson</w:t>
      </w:r>
    </w:p>
    <w:p w14:paraId="1D0D4DBB" w14:textId="79A3D6C3" w:rsidR="00412BC4" w:rsidRDefault="00053342" w:rsidP="009A6754">
      <w:pPr>
        <w:pStyle w:val="Reference"/>
        <w:suppressAutoHyphens w:val="0"/>
        <w:spacing w:after="0"/>
      </w:pPr>
      <w:r>
        <w:t xml:space="preserve">Wikipedia: Euler Angles. Available online: </w:t>
      </w:r>
      <w:hyperlink r:id="rId9" w:history="1">
        <w:r w:rsidRPr="00DE4D26">
          <w:rPr>
            <w:rStyle w:val="Hyperlink"/>
          </w:rPr>
          <w:t>https://en.wikipedia.org/wiki/Euler_angles</w:t>
        </w:r>
      </w:hyperlink>
      <w:r w:rsidR="00412BC4">
        <w:br w:type="page"/>
      </w:r>
    </w:p>
    <w:p w14:paraId="1AEFBD91" w14:textId="66DFDBBA" w:rsidR="00412BC4" w:rsidRPr="00412BC4" w:rsidRDefault="00412BC4">
      <w:pPr>
        <w:rPr>
          <w:color w:val="FF0000"/>
          <w:sz w:val="40"/>
          <w:szCs w:val="40"/>
        </w:rPr>
      </w:pPr>
      <w:r w:rsidRPr="00412BC4">
        <w:rPr>
          <w:color w:val="FF0000"/>
          <w:sz w:val="40"/>
          <w:szCs w:val="40"/>
        </w:rPr>
        <w:lastRenderedPageBreak/>
        <w:t>T</w:t>
      </w:r>
      <w:r>
        <w:rPr>
          <w:color w:val="FF0000"/>
          <w:sz w:val="40"/>
          <w:szCs w:val="40"/>
        </w:rPr>
        <w:t xml:space="preserve">ext </w:t>
      </w:r>
      <w:proofErr w:type="gramStart"/>
      <w:r w:rsidRPr="00412BC4">
        <w:rPr>
          <w:color w:val="FF0000"/>
          <w:sz w:val="40"/>
          <w:szCs w:val="40"/>
        </w:rPr>
        <w:t>P</w:t>
      </w:r>
      <w:r>
        <w:rPr>
          <w:color w:val="FF0000"/>
          <w:sz w:val="40"/>
          <w:szCs w:val="40"/>
        </w:rPr>
        <w:t>roposal</w:t>
      </w:r>
      <w:r w:rsidR="00AB3954">
        <w:rPr>
          <w:color w:val="FF0000"/>
          <w:sz w:val="40"/>
          <w:szCs w:val="40"/>
        </w:rPr>
        <w:t xml:space="preserve">s </w:t>
      </w:r>
      <w:r w:rsidRPr="00412BC4">
        <w:rPr>
          <w:color w:val="FF0000"/>
          <w:sz w:val="40"/>
          <w:szCs w:val="40"/>
        </w:rPr>
        <w:t>:</w:t>
      </w:r>
      <w:proofErr w:type="gramEnd"/>
    </w:p>
    <w:p w14:paraId="6D948DBE" w14:textId="77777777" w:rsidR="00412BC4" w:rsidRDefault="00412BC4"/>
    <w:p w14:paraId="6FD253A4" w14:textId="0FBF53BC" w:rsidR="00D30E94" w:rsidRDefault="00665395">
      <w:pPr>
        <w:pStyle w:val="Heading1"/>
      </w:pPr>
      <w:proofErr w:type="spellStart"/>
      <w:r>
        <w:t>M</w:t>
      </w:r>
      <w:r w:rsidR="00412BC4">
        <w:t>.x</w:t>
      </w:r>
      <w:proofErr w:type="spellEnd"/>
      <w:r w:rsidR="00412BC4">
        <w:t xml:space="preserve"> TRP evaluation for unwanted emissions</w:t>
      </w:r>
    </w:p>
    <w:p w14:paraId="3703900F" w14:textId="1357DA38" w:rsidR="00412BC4" w:rsidRDefault="00665395" w:rsidP="00412BC4">
      <w:pPr>
        <w:pStyle w:val="Heading3"/>
      </w:pPr>
      <w:proofErr w:type="spellStart"/>
      <w:r>
        <w:t>M</w:t>
      </w:r>
      <w:r w:rsidR="00412BC4">
        <w:t>.x.y</w:t>
      </w:r>
      <w:proofErr w:type="spellEnd"/>
      <w:r w:rsidR="00412BC4">
        <w:t xml:space="preserve"> General aspects</w:t>
      </w:r>
    </w:p>
    <w:p w14:paraId="7B4643E2" w14:textId="56AC9CAD" w:rsidR="00412BC4" w:rsidRDefault="00412BC4" w:rsidP="00412BC4">
      <w:r>
        <w:t xml:space="preserve">The measurement method is based on </w:t>
      </w:r>
      <w:proofErr w:type="gramStart"/>
      <w:r>
        <w:t>a number of</w:t>
      </w:r>
      <w:proofErr w:type="gramEnd"/>
      <w:r>
        <w:t xml:space="preserve"> test points around the object, on a spherical grid, where power density of the electromagnetic field is evaluated. The measured values at these points are then integrated </w:t>
      </w:r>
      <w:proofErr w:type="gramStart"/>
      <w:r>
        <w:t>in order to</w:t>
      </w:r>
      <w:proofErr w:type="gramEnd"/>
      <w:r>
        <w:t xml:space="preserve"> obtain TRP. </w:t>
      </w:r>
    </w:p>
    <w:p w14:paraId="51A72FC2" w14:textId="1AC1B64C" w:rsidR="00412BC4" w:rsidRDefault="00412BC4" w:rsidP="00412BC4">
      <w:r>
        <w:t xml:space="preserve">In theory, TRP implies making measurements around the whole sphere. In practice, measurements may be made on a more finite and sparse grid and potentially excluding some directions in which unwanted emissions will physically not radiate. A </w:t>
      </w:r>
      <w:r w:rsidRPr="00412BC4">
        <w:rPr>
          <w:b/>
          <w:i/>
        </w:rPr>
        <w:t>pre-scan procedure</w:t>
      </w:r>
      <w:r>
        <w:t xml:space="preserve"> can also be considered, aiming to identify the important emissions before considering the TRP measurement. </w:t>
      </w:r>
    </w:p>
    <w:p w14:paraId="2DE937DF" w14:textId="45E6A68E" w:rsidR="00412BC4" w:rsidRDefault="00665395" w:rsidP="00412BC4">
      <w:pPr>
        <w:pStyle w:val="Heading3"/>
      </w:pPr>
      <w:proofErr w:type="spellStart"/>
      <w:r>
        <w:t>M</w:t>
      </w:r>
      <w:r w:rsidR="00412BC4">
        <w:t>.x.y</w:t>
      </w:r>
      <w:proofErr w:type="spellEnd"/>
      <w:r w:rsidR="00412BC4">
        <w:t xml:space="preserve"> Definitions</w:t>
      </w:r>
    </w:p>
    <w:p w14:paraId="72DFA965" w14:textId="77777777" w:rsidR="00D30E94" w:rsidRDefault="00A506A5">
      <w:r>
        <w:t xml:space="preserve">The Standard Spherical Coordinate System for Antenna Measurements (SSCSAM) defined in </w:t>
      </w:r>
      <w:r w:rsidR="00BA17B1">
        <w:t>[3]</w:t>
      </w:r>
      <w:r>
        <w:t xml:space="preserve"> is used. </w:t>
      </w:r>
    </w:p>
    <w:tbl>
      <w:tblPr>
        <w:tblW w:w="9351" w:type="dxa"/>
        <w:tblCellMar>
          <w:left w:w="10" w:type="dxa"/>
          <w:right w:w="10" w:type="dxa"/>
        </w:tblCellMar>
        <w:tblLook w:val="0000" w:firstRow="0" w:lastRow="0" w:firstColumn="0" w:lastColumn="0" w:noHBand="0" w:noVBand="0"/>
      </w:tblPr>
      <w:tblGrid>
        <w:gridCol w:w="9351"/>
      </w:tblGrid>
      <w:tr w:rsidR="00D30E94" w14:paraId="07CEC538" w14:textId="77777777">
        <w:tc>
          <w:tcPr>
            <w:tcW w:w="9351" w:type="dxa"/>
            <w:shd w:val="clear" w:color="auto" w:fill="auto"/>
            <w:tcMar>
              <w:top w:w="0" w:type="dxa"/>
              <w:left w:w="108" w:type="dxa"/>
              <w:bottom w:w="0" w:type="dxa"/>
              <w:right w:w="108" w:type="dxa"/>
            </w:tcMar>
          </w:tcPr>
          <w:p w14:paraId="09727A69" w14:textId="77777777" w:rsidR="00D30E94" w:rsidRDefault="00A506A5">
            <w:pPr>
              <w:jc w:val="center"/>
            </w:pPr>
            <w:r>
              <w:rPr>
                <w:noProof/>
              </w:rPr>
              <w:drawing>
                <wp:inline distT="0" distB="0" distL="0" distR="0" wp14:anchorId="04698C52" wp14:editId="6038CC13">
                  <wp:extent cx="3472818" cy="3539386"/>
                  <wp:effectExtent l="0" t="0" r="0" b="3914"/>
                  <wp:docPr id="1"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rcRect/>
                          <a:stretch>
                            <a:fillRect/>
                          </a:stretch>
                        </pic:blipFill>
                        <pic:spPr>
                          <a:xfrm>
                            <a:off x="0" y="0"/>
                            <a:ext cx="3472818" cy="3539386"/>
                          </a:xfrm>
                          <a:prstGeom prst="rect">
                            <a:avLst/>
                          </a:prstGeom>
                          <a:noFill/>
                          <a:ln>
                            <a:noFill/>
                            <a:prstDash/>
                          </a:ln>
                        </pic:spPr>
                      </pic:pic>
                    </a:graphicData>
                  </a:graphic>
                </wp:inline>
              </w:drawing>
            </w:r>
          </w:p>
        </w:tc>
      </w:tr>
      <w:tr w:rsidR="00D30E94" w14:paraId="59F1D077" w14:textId="77777777">
        <w:tc>
          <w:tcPr>
            <w:tcW w:w="9351" w:type="dxa"/>
            <w:shd w:val="clear" w:color="auto" w:fill="auto"/>
            <w:tcMar>
              <w:top w:w="0" w:type="dxa"/>
              <w:left w:w="108" w:type="dxa"/>
              <w:bottom w:w="0" w:type="dxa"/>
              <w:right w:w="108" w:type="dxa"/>
            </w:tcMar>
          </w:tcPr>
          <w:p w14:paraId="2270BC3A" w14:textId="77777777" w:rsidR="00D30E94" w:rsidRDefault="00A506A5">
            <w:r>
              <w:t>Fig. 2-1. The SSCSAM with the device dimensions depth (d), width (w) and height (h).</w:t>
            </w:r>
          </w:p>
        </w:tc>
      </w:tr>
    </w:tbl>
    <w:p w14:paraId="2CD74571" w14:textId="77777777" w:rsidR="00D30E94" w:rsidRDefault="00A506A5">
      <w:r>
        <w:t>The spherical and cylindrical diameters are calculated as</w:t>
      </w:r>
    </w:p>
    <w:p w14:paraId="598FBC38" w14:textId="77777777" w:rsidR="00D30E94" w:rsidRDefault="00A506A5">
      <w:pPr>
        <w:pStyle w:val="B-Body"/>
        <w:jc w:val="center"/>
      </w:pPr>
      <m:oMathPara>
        <m:oMathParaPr>
          <m:jc m:val="center"/>
        </m:oMathParaPr>
        <m:oMath>
          <m:r>
            <w:rPr>
              <w:rFonts w:ascii="Cambria Math" w:hAnsi="Cambria Math"/>
            </w:rPr>
            <w:lastRenderedPageBreak/>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(1.1)   </m:t>
          </m:r>
        </m:oMath>
      </m:oMathPara>
    </w:p>
    <w:p w14:paraId="4A007912" w14:textId="77777777" w:rsidR="00D30E94" w:rsidRDefault="00D4105F">
      <w:pPr>
        <w:pStyle w:val="B-Body"/>
        <w:jc w:val="center"/>
      </w:pP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00A506A5">
        <w:tab/>
        <w:t xml:space="preserve">               (1.2)</w:t>
      </w:r>
    </w:p>
    <w:p w14:paraId="1CA05213" w14:textId="77777777" w:rsidR="00D30E94" w:rsidRDefault="00D30E94"/>
    <w:p w14:paraId="4D795D92" w14:textId="77777777" w:rsidR="00B97FAF" w:rsidRDefault="00A506A5" w:rsidP="00B97FAF">
      <w:r>
        <w:t xml:space="preserve">Some basic definitions and relations are given here for readability. The definitions </w:t>
      </w:r>
      <w:r w:rsidR="00BA17B1">
        <w:t>Ref [4]</w:t>
      </w:r>
      <w:r>
        <w:t>. The far-field distance of an antenna is calculated as:</w:t>
      </w:r>
    </w:p>
    <w:p w14:paraId="44078C7F" w14:textId="77777777" w:rsidR="00D30E94" w:rsidRDefault="00B97FAF" w:rsidP="00B97FAF">
      <w:r>
        <w:rPr>
          <w:noProof/>
        </w:rPr>
        <w:tab/>
      </w:r>
      <w:r>
        <w:rPr>
          <w:noProof/>
        </w:rPr>
        <w:tab/>
      </w:r>
      <w:r>
        <w:rPr>
          <w:noProof/>
        </w:rPr>
        <w:tab/>
      </w:r>
      <w:r>
        <w:rPr>
          <w:noProof/>
        </w:rPr>
        <w:tab/>
      </w:r>
      <w:r w:rsidRPr="00B97FAF">
        <w:rPr>
          <w:noProof/>
        </w:rPr>
        <w:t xml:space="preserve"> </w:t>
      </w:r>
      <w:r w:rsidRPr="00B97FAF">
        <w:rPr>
          <w:noProof/>
        </w:rPr>
        <w:drawing>
          <wp:inline distT="0" distB="0" distL="0" distR="0" wp14:anchorId="7DF9EE22" wp14:editId="78318A81">
            <wp:extent cx="514350" cy="21254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3464" cy="216307"/>
                    </a:xfrm>
                    <a:prstGeom prst="rect">
                      <a:avLst/>
                    </a:prstGeom>
                  </pic:spPr>
                </pic:pic>
              </a:graphicData>
            </a:graphic>
          </wp:inline>
        </w:drawing>
      </w:r>
      <w:r>
        <w:rPr>
          <w:noProof/>
        </w:rPr>
        <w:tab/>
      </w:r>
      <w:r>
        <w:rPr>
          <w:noProof/>
        </w:rPr>
        <w:tab/>
      </w:r>
      <w:r>
        <w:rPr>
          <w:noProof/>
        </w:rPr>
        <w:tab/>
      </w:r>
      <w:r>
        <w:rPr>
          <w:noProof/>
        </w:rPr>
        <w:tab/>
      </w:r>
      <w:r w:rsidR="00A506A5">
        <w:t>(1.3)</w:t>
      </w:r>
    </w:p>
    <w:p w14:paraId="70A5B189" w14:textId="316C7DFB" w:rsidR="00D30E94" w:rsidRDefault="00A506A5">
      <w:r>
        <w:t xml:space="preserve">Here </w:t>
      </w:r>
      <m:oMath>
        <m:r>
          <m:rPr>
            <m:sty m:val="p"/>
          </m:rPr>
          <w:rPr>
            <w:rFonts w:ascii="Cambria Math" w:hAnsi="Cambria Math"/>
          </w:rPr>
          <m:t>λ</m:t>
        </m:r>
      </m:oMath>
      <w:r>
        <w:t xml:space="preserve"> is the wave length and D is the diameter of the radiating part of the antenna. To be on the safe side this means the entire mechanical dimensions, but in some cases</w:t>
      </w:r>
      <w:r w:rsidR="00C76FBB">
        <w:t>,</w:t>
      </w:r>
      <w:r>
        <w:t xml:space="preserve"> such as horn antennas</w:t>
      </w:r>
      <w:r w:rsidR="00C76FBB">
        <w:t>,</w:t>
      </w:r>
      <w:r>
        <w:t xml:space="preserve"> only the aperture of the antenna needs to be considered. If claiming smaller far field distance than the one calculated from mechanical dimensions, this needs to be verified by measurements. </w:t>
      </w:r>
    </w:p>
    <w:p w14:paraId="2F673FD3" w14:textId="77777777" w:rsidR="00D30E94" w:rsidRDefault="00A506A5">
      <w:r>
        <w:t xml:space="preserve">The TRP or the radiated power is simply the total power radiated by an antenna. The relevant power density entity for power radiating out of a surface is the component of the Poynting vector (Power flux vector) that is perpendicular to the surface. This entity is denoted power density. In the far field region, the power density is related to the magnitude of the tangential </w:t>
      </w:r>
      <w:r w:rsidR="00E90BEF">
        <w:t xml:space="preserve">RMS </w:t>
      </w:r>
      <w:r>
        <w:t>electric field:</w:t>
      </w:r>
    </w:p>
    <w:p w14:paraId="2708568C" w14:textId="77777777" w:rsidR="00D30E94" w:rsidRDefault="00A506A5">
      <w:r>
        <w:t xml:space="preserve"> </w:t>
      </w:r>
      <w:r>
        <w:tab/>
      </w:r>
      <w:r>
        <w:tab/>
      </w:r>
      <w:r>
        <w:tab/>
      </w:r>
      <w:r>
        <w:tab/>
      </w:r>
      <w:r>
        <w:rPr>
          <w:noProof/>
        </w:rPr>
        <w:drawing>
          <wp:inline distT="0" distB="0" distL="0" distR="0" wp14:anchorId="1F9B7652" wp14:editId="2A16DA38">
            <wp:extent cx="1153104" cy="237213"/>
            <wp:effectExtent l="0" t="0" r="8946" b="0"/>
            <wp:docPr id="2" name="Pictur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153104" cy="237213"/>
                    </a:xfrm>
                    <a:prstGeom prst="rect">
                      <a:avLst/>
                    </a:prstGeom>
                    <a:noFill/>
                    <a:ln>
                      <a:noFill/>
                      <a:prstDash/>
                    </a:ln>
                  </pic:spPr>
                </pic:pic>
              </a:graphicData>
            </a:graphic>
          </wp:inline>
        </w:drawing>
      </w:r>
      <w:r>
        <w:tab/>
      </w:r>
      <w:r>
        <w:tab/>
      </w:r>
      <w:r>
        <w:tab/>
        <w:t>(1.4)</w:t>
      </w:r>
    </w:p>
    <w:p w14:paraId="05ED0AFC" w14:textId="4B0C95C7" w:rsidR="00B97FAF" w:rsidRDefault="00B97FAF">
      <w:pPr>
        <w:jc w:val="both"/>
      </w:pPr>
      <w:r w:rsidRPr="00B97FAF">
        <w:t xml:space="preserve">Simulations based on measured data has shown that this is a useful approximation for data points on a sphere that is separated </w:t>
      </w:r>
      <w:r>
        <w:t xml:space="preserve">only </w:t>
      </w:r>
      <w:r w:rsidRPr="00B97FAF">
        <w:t>a few lengths from the EUT. For a separation of 3 wave lengths an error well below 5% has been found</w:t>
      </w:r>
      <w:r w:rsidR="00C76FBB">
        <w:t xml:space="preserve"> [6]</w:t>
      </w:r>
      <w:r w:rsidRPr="00B97FAF">
        <w:t xml:space="preserve">. </w:t>
      </w:r>
    </w:p>
    <w:p w14:paraId="71CB1C04" w14:textId="3DBE26E8" w:rsidR="00D30E94" w:rsidRDefault="00A506A5">
      <w:pPr>
        <w:jc w:val="both"/>
      </w:pPr>
      <w:r>
        <w:t xml:space="preserve">When measuring power density two partial results for two orthogonal polarizations needs to be added. These can be the </w:t>
      </w:r>
      <w:r w:rsidR="00945A6B">
        <w:t>θ (</w:t>
      </w:r>
      <w:r>
        <w:t>theta</w:t>
      </w:r>
      <w:r w:rsidR="00945A6B">
        <w:t>)</w:t>
      </w:r>
      <w:r>
        <w:t xml:space="preserve"> and </w:t>
      </w:r>
      <w:r w:rsidR="00945A6B">
        <w:t>φ (</w:t>
      </w:r>
      <w:r>
        <w:t>phi</w:t>
      </w:r>
      <w:r w:rsidR="00945A6B">
        <w:t>)</w:t>
      </w:r>
      <w:r>
        <w:t xml:space="preserve"> polarizations or any pair of orthogonal polarizations.</w:t>
      </w:r>
    </w:p>
    <w:p w14:paraId="17FEC7AE" w14:textId="77777777" w:rsidR="00D30E94" w:rsidRDefault="00A506A5">
      <w:pPr>
        <w:jc w:val="both"/>
      </w:pPr>
      <w:r>
        <w:tab/>
      </w:r>
      <w:r>
        <w:tab/>
      </w:r>
      <w:r>
        <w:rPr>
          <w:noProof/>
        </w:rPr>
        <w:drawing>
          <wp:inline distT="0" distB="0" distL="0" distR="0" wp14:anchorId="49BE532F" wp14:editId="258A1ECC">
            <wp:extent cx="3706374" cy="183757"/>
            <wp:effectExtent l="0" t="0" r="8376" b="6743"/>
            <wp:docPr id="3" name="Picture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706374" cy="183757"/>
                    </a:xfrm>
                    <a:prstGeom prst="rect">
                      <a:avLst/>
                    </a:prstGeom>
                    <a:noFill/>
                    <a:ln>
                      <a:noFill/>
                      <a:prstDash/>
                    </a:ln>
                  </pic:spPr>
                </pic:pic>
              </a:graphicData>
            </a:graphic>
          </wp:inline>
        </w:drawing>
      </w:r>
      <w:r>
        <w:t xml:space="preserve"> </w:t>
      </w:r>
      <w:r>
        <w:tab/>
        <w:t>(1.5)</w:t>
      </w:r>
    </w:p>
    <w:p w14:paraId="243F2C5D" w14:textId="225C052D" w:rsidR="00D30E94" w:rsidRDefault="00A506A5">
      <w:pPr>
        <w:jc w:val="both"/>
      </w:pPr>
      <w:r>
        <w:t xml:space="preserve">Equivalent Isotropic Radiated Power </w:t>
      </w:r>
      <w:r w:rsidR="00BA17B1">
        <w:t xml:space="preserve">(EIRP) </w:t>
      </w:r>
      <w:r>
        <w:t>is defined only in the far field region, and is related to the power density a</w:t>
      </w:r>
      <w:r w:rsidR="00C76FBB">
        <w:t>s:</w:t>
      </w:r>
    </w:p>
    <w:p w14:paraId="2695B092" w14:textId="77777777" w:rsidR="00D30E94" w:rsidRDefault="00A506A5">
      <w:pPr>
        <w:jc w:val="both"/>
      </w:pPr>
      <w:r>
        <w:tab/>
      </w:r>
      <w:r>
        <w:tab/>
      </w:r>
      <w:r>
        <w:tab/>
      </w:r>
      <w:r>
        <w:tab/>
      </w:r>
      <w:r>
        <w:tab/>
      </w:r>
      <w:r>
        <w:rPr>
          <w:noProof/>
        </w:rPr>
        <w:drawing>
          <wp:inline distT="0" distB="0" distL="0" distR="0" wp14:anchorId="3ECC4117" wp14:editId="3CE9E60C">
            <wp:extent cx="1866903" cy="190496"/>
            <wp:effectExtent l="0" t="0" r="0" b="4"/>
            <wp:docPr id="4" name="Pictur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866903" cy="190496"/>
                    </a:xfrm>
                    <a:prstGeom prst="rect">
                      <a:avLst/>
                    </a:prstGeom>
                    <a:noFill/>
                    <a:ln>
                      <a:noFill/>
                      <a:prstDash/>
                    </a:ln>
                  </pic:spPr>
                </pic:pic>
              </a:graphicData>
            </a:graphic>
          </wp:inline>
        </w:drawing>
      </w:r>
      <w:r>
        <w:t xml:space="preserve"> </w:t>
      </w:r>
      <w:r>
        <w:tab/>
        <w:t>(1.6)</w:t>
      </w:r>
    </w:p>
    <w:p w14:paraId="57A3A123" w14:textId="77777777" w:rsidR="00D30E94" w:rsidRDefault="00A506A5">
      <w:pPr>
        <w:jc w:val="both"/>
      </w:pPr>
      <w:r>
        <w:t>Convergence is expected beyond the far-field distance (1.3). Beyond the far-field distance the power density and EIRP are related as</w:t>
      </w:r>
    </w:p>
    <w:p w14:paraId="3B699C39" w14:textId="77777777" w:rsidR="00D30E94" w:rsidRDefault="00A506A5">
      <w:pPr>
        <w:jc w:val="both"/>
      </w:pPr>
      <w:r>
        <w:tab/>
      </w:r>
      <w:r>
        <w:tab/>
      </w:r>
      <w:r>
        <w:tab/>
      </w:r>
      <w:r>
        <w:tab/>
      </w:r>
      <w:r>
        <w:tab/>
      </w:r>
      <w:r>
        <w:rPr>
          <w:noProof/>
        </w:rPr>
        <w:drawing>
          <wp:inline distT="0" distB="0" distL="0" distR="0" wp14:anchorId="742B3A44" wp14:editId="39672FB9">
            <wp:extent cx="1371600" cy="278892"/>
            <wp:effectExtent l="0" t="0" r="0" b="6858"/>
            <wp:docPr id="5" name="Picture 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371600" cy="278892"/>
                    </a:xfrm>
                    <a:prstGeom prst="rect">
                      <a:avLst/>
                    </a:prstGeom>
                    <a:noFill/>
                    <a:ln>
                      <a:noFill/>
                      <a:prstDash/>
                    </a:ln>
                  </pic:spPr>
                </pic:pic>
              </a:graphicData>
            </a:graphic>
          </wp:inline>
        </w:drawing>
      </w:r>
      <w:r>
        <w:tab/>
      </w:r>
      <w:r>
        <w:tab/>
        <w:t>(1.7)</w:t>
      </w:r>
    </w:p>
    <w:p w14:paraId="5D9B0EBF" w14:textId="77777777" w:rsidR="00D30E94" w:rsidRDefault="00A506A5">
      <w:pPr>
        <w:jc w:val="both"/>
      </w:pPr>
      <w:r>
        <w:t>The relation between Total Radiated Power (TRP) and power density is</w:t>
      </w:r>
    </w:p>
    <w:p w14:paraId="20919FA3" w14:textId="77777777" w:rsidR="00D30E94" w:rsidRDefault="00A506A5">
      <w:pPr>
        <w:jc w:val="both"/>
      </w:pPr>
      <w:r>
        <w:tab/>
      </w:r>
      <w:r>
        <w:tab/>
      </w:r>
      <w:r>
        <w:tab/>
      </w:r>
      <w:r>
        <w:tab/>
      </w:r>
      <w:r>
        <w:tab/>
      </w:r>
      <w:r>
        <w:rPr>
          <w:noProof/>
        </w:rPr>
        <w:drawing>
          <wp:inline distT="0" distB="0" distL="0" distR="0" wp14:anchorId="469EB123" wp14:editId="50FE58E4">
            <wp:extent cx="1969014" cy="368804"/>
            <wp:effectExtent l="0" t="0" r="0" b="0"/>
            <wp:docPr id="6" name="Picture 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969014" cy="368804"/>
                    </a:xfrm>
                    <a:prstGeom prst="rect">
                      <a:avLst/>
                    </a:prstGeom>
                    <a:noFill/>
                    <a:ln>
                      <a:noFill/>
                      <a:prstDash/>
                    </a:ln>
                  </pic:spPr>
                </pic:pic>
              </a:graphicData>
            </a:graphic>
          </wp:inline>
        </w:drawing>
      </w:r>
      <w:r>
        <w:t xml:space="preserve"> </w:t>
      </w:r>
      <w:r>
        <w:tab/>
        <w:t>(1.8)</w:t>
      </w:r>
    </w:p>
    <w:p w14:paraId="0DA5F96C" w14:textId="5B9D9864" w:rsidR="00D30E94" w:rsidRDefault="00A506A5">
      <w:pPr>
        <w:jc w:val="both"/>
      </w:pPr>
      <w:r>
        <w:lastRenderedPageBreak/>
        <w:t xml:space="preserve">r is the test distance, i.e. the radius of the measurement sphere, and the integration is over the full sphere. </w:t>
      </w:r>
      <w:r w:rsidR="00AD7DF3">
        <w:t xml:space="preserve">Any </w:t>
      </w:r>
      <w:r w:rsidR="0055021F">
        <w:t>use of intervals to cover a full sphere can be, and is frequently used</w:t>
      </w:r>
      <w:r w:rsidR="00694352">
        <w:t>,</w:t>
      </w:r>
      <w:r w:rsidR="0055021F">
        <w:t xml:space="preserve"> </w:t>
      </w:r>
      <w:proofErr w:type="gramStart"/>
      <w:r w:rsidR="0055021F">
        <w:t>as long as</w:t>
      </w:r>
      <w:proofErr w:type="gramEnd"/>
      <w:r w:rsidR="0055021F">
        <w:t xml:space="preserve"> the sphere is covered exactly once. </w:t>
      </w:r>
      <w:r>
        <w:t xml:space="preserve">Due to energy conservation, TRP is independent of choice of test distance apart from measurement errors. If the measurement setup is calibrated for EIRP data, the expression </w:t>
      </w:r>
    </w:p>
    <w:p w14:paraId="335E6978" w14:textId="77777777" w:rsidR="00D30E94" w:rsidRDefault="00A506A5">
      <w:pPr>
        <w:jc w:val="both"/>
      </w:pPr>
      <w:r>
        <w:tab/>
      </w:r>
      <w:r>
        <w:tab/>
      </w:r>
      <w:r>
        <w:tab/>
      </w:r>
      <w:r>
        <w:tab/>
      </w:r>
      <w:r>
        <w:tab/>
      </w:r>
      <w:r>
        <w:rPr>
          <w:noProof/>
        </w:rPr>
        <w:drawing>
          <wp:inline distT="0" distB="0" distL="0" distR="0" wp14:anchorId="48A5001D" wp14:editId="7D0237D7">
            <wp:extent cx="2114550" cy="344170"/>
            <wp:effectExtent l="0" t="0" r="0" b="0"/>
            <wp:docPr id="7" name="Pictur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118207" cy="344765"/>
                    </a:xfrm>
                    <a:prstGeom prst="rect">
                      <a:avLst/>
                    </a:prstGeom>
                    <a:noFill/>
                    <a:ln>
                      <a:noFill/>
                      <a:prstDash/>
                    </a:ln>
                  </pic:spPr>
                </pic:pic>
              </a:graphicData>
            </a:graphic>
          </wp:inline>
        </w:drawing>
      </w:r>
      <w:r>
        <w:tab/>
        <w:t>(1.9),</w:t>
      </w:r>
    </w:p>
    <w:p w14:paraId="4800F423" w14:textId="77777777" w:rsidR="00D30E94" w:rsidRDefault="00A506A5">
      <w:r>
        <w:t>can be used. Note that this states that TRP is the full sphere average of EIRP. There are many ways to cover a full sphere and to calculate the above integrals that can be found in literature (e.g. any textbook on multi-dimensional analysis).</w:t>
      </w:r>
    </w:p>
    <w:p w14:paraId="67A2D0DB" w14:textId="77777777" w:rsidR="00D30E94" w:rsidRDefault="00A506A5">
      <w:r>
        <w:t>A major property of this method is to make a trade off between measurement time and accuracy of TRP estimation.  For each emission frequency, the</w:t>
      </w:r>
      <w:r>
        <w:rPr>
          <w:u w:val="single"/>
        </w:rPr>
        <w:t xml:space="preserve"> reference angular steps</w:t>
      </w:r>
      <w:r>
        <w:t xml:space="preserve"> are the required angular steps for accurate TRP assessment using a full sphere grid and with no grid-dependent error</w:t>
      </w:r>
      <w:r w:rsidR="005E4BFA">
        <w:t xml:space="preserve"> [5]</w:t>
      </w:r>
      <w:r>
        <w:t>:</w:t>
      </w:r>
    </w:p>
    <w:p w14:paraId="6C336235" w14:textId="77777777" w:rsidR="00D30E94" w:rsidRDefault="00A506A5">
      <w:r>
        <w:tab/>
      </w:r>
      <w:r>
        <w:tab/>
      </w:r>
      <w:r>
        <w:tab/>
      </w:r>
      <w:r>
        <w:tab/>
      </w:r>
      <w:r>
        <w:tab/>
      </w:r>
      <w:r>
        <w:rPr>
          <w:noProof/>
        </w:rPr>
        <w:drawing>
          <wp:inline distT="0" distB="0" distL="0" distR="0" wp14:anchorId="5925351B" wp14:editId="03732C59">
            <wp:extent cx="1588011" cy="673611"/>
            <wp:effectExtent l="0" t="0" r="0" b="0"/>
            <wp:docPr id="8" name="Picture 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588011" cy="673611"/>
                    </a:xfrm>
                    <a:prstGeom prst="rect">
                      <a:avLst/>
                    </a:prstGeom>
                    <a:noFill/>
                    <a:ln>
                      <a:noFill/>
                      <a:prstDash/>
                    </a:ln>
                  </pic:spPr>
                </pic:pic>
              </a:graphicData>
            </a:graphic>
          </wp:inline>
        </w:drawing>
      </w:r>
      <w:r>
        <w:t xml:space="preserve"> </w:t>
      </w:r>
      <w:r>
        <w:tab/>
      </w:r>
      <w:r>
        <w:tab/>
        <w:t>(1.10)</w:t>
      </w:r>
    </w:p>
    <w:p w14:paraId="0A4B86BD" w14:textId="77777777" w:rsidR="00D30E94" w:rsidRDefault="00D30E94">
      <w:pPr>
        <w:tabs>
          <w:tab w:val="left" w:pos="1440"/>
          <w:tab w:val="center" w:pos="4680"/>
          <w:tab w:val="right" w:pos="9360"/>
        </w:tabs>
        <w:spacing w:after="0" w:line="240" w:lineRule="auto"/>
        <w:ind w:left="720"/>
        <w:jc w:val="center"/>
        <w:rPr>
          <w:rFonts w:ascii="Times New Roman" w:eastAsia="Times New Roman" w:hAnsi="Times New Roman"/>
          <w:szCs w:val="20"/>
          <w:lang w:val="en-US"/>
        </w:rPr>
      </w:pPr>
    </w:p>
    <w:p w14:paraId="0E7CC154" w14:textId="77777777" w:rsidR="00D30E94" w:rsidRDefault="00A506A5">
      <w:r>
        <w:t xml:space="preserve">The main assumption here is that reference angular steps </w:t>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oMath>
      <w:r>
        <w:t xml:space="preserve"> and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oMath>
      <w:r>
        <w:t xml:space="preserve"> cannot be smaller than </w:t>
      </w:r>
      <m:oMath>
        <m:sSup>
          <m:sSupPr>
            <m:ctrlPr>
              <w:rPr>
                <w:rFonts w:ascii="Cambria Math" w:hAnsi="Cambria Math"/>
              </w:rPr>
            </m:ctrlPr>
          </m:sSupPr>
          <m:e>
            <m:r>
              <w:rPr>
                <w:rFonts w:ascii="Cambria Math" w:hAnsi="Cambria Math"/>
              </w:rPr>
              <m:t>15</m:t>
            </m:r>
          </m:e>
          <m:sup>
            <m:r>
              <w:rPr>
                <w:rFonts w:ascii="Cambria Math" w:hAnsi="Cambria Math"/>
              </w:rPr>
              <m:t>∘</m:t>
            </m:r>
          </m:sup>
        </m:sSup>
      </m:oMath>
      <w:r>
        <w:rPr>
          <w:lang w:val="en-US"/>
        </w:rPr>
        <w:t>. Th</w:t>
      </w:r>
      <w:r w:rsidR="00B97FAF">
        <w:rPr>
          <w:lang w:val="en-US"/>
        </w:rPr>
        <w:t xml:space="preserve">e </w:t>
      </w:r>
      <w:proofErr w:type="gramStart"/>
      <w:r w:rsidR="00B97FAF">
        <w:rPr>
          <w:lang w:val="en-US"/>
        </w:rPr>
        <w:t>15 degree</w:t>
      </w:r>
      <w:proofErr w:type="gramEnd"/>
      <w:r w:rsidR="00B97FAF">
        <w:rPr>
          <w:lang w:val="en-US"/>
        </w:rPr>
        <w:t xml:space="preserve"> steps follow from (1.10) whenever the diameter is less than four wave lengths.</w:t>
      </w:r>
    </w:p>
    <w:p w14:paraId="66D2C6D4" w14:textId="77777777" w:rsidR="00D30E94" w:rsidRDefault="00A506A5">
      <w:r>
        <w:rPr>
          <w:lang w:val="en-US"/>
        </w:rPr>
        <w:t>A Sparsity Factor (SF) is used to describe the relation between the chosen grid and the reference grid (i.e. the grid defined by the reference angular steps). SF is utilized to quantify grid-related errors due to sparse sampling. By definition:</w:t>
      </w:r>
    </w:p>
    <w:p w14:paraId="3F229493" w14:textId="77777777" w:rsidR="00D30E94" w:rsidRDefault="00A506A5">
      <w:pPr>
        <w:jc w:val="center"/>
      </w:pPr>
      <w:r>
        <w:rPr>
          <w:noProof/>
          <w:lang w:val="en-US"/>
        </w:rPr>
        <w:drawing>
          <wp:inline distT="0" distB="0" distL="0" distR="0" wp14:anchorId="7478F625" wp14:editId="5F87E2E6">
            <wp:extent cx="1780227" cy="371657"/>
            <wp:effectExtent l="0" t="0" r="0" b="9343"/>
            <wp:docPr id="9" name="Pictur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780227" cy="371657"/>
                    </a:xfrm>
                    <a:prstGeom prst="rect">
                      <a:avLst/>
                    </a:prstGeom>
                    <a:noFill/>
                    <a:ln>
                      <a:noFill/>
                      <a:prstDash/>
                    </a:ln>
                  </pic:spPr>
                </pic:pic>
              </a:graphicData>
            </a:graphic>
          </wp:inline>
        </w:drawing>
      </w:r>
      <w:r>
        <w:rPr>
          <w:lang w:val="en-US"/>
        </w:rPr>
        <w:t xml:space="preserve"> </w:t>
      </w:r>
      <w:r>
        <w:rPr>
          <w:lang w:val="en-US"/>
        </w:rPr>
        <w:tab/>
      </w:r>
      <w:r>
        <w:rPr>
          <w:lang w:val="en-US"/>
        </w:rPr>
        <w:tab/>
        <w:t>(1.11)</w:t>
      </w:r>
    </w:p>
    <w:p w14:paraId="0ABD1ADE" w14:textId="6F50D04E" w:rsidR="006F0B65" w:rsidRPr="00694352" w:rsidRDefault="00694352" w:rsidP="006F0B65">
      <w:pPr>
        <w:suppressAutoHyphens w:val="0"/>
        <w:autoSpaceDN/>
        <w:spacing w:after="120" w:line="240" w:lineRule="auto"/>
        <w:textAlignment w:val="auto"/>
        <w:rPr>
          <w:lang w:val="en-US"/>
        </w:rPr>
      </w:pPr>
      <w:r>
        <w:rPr>
          <w:lang w:val="en-US"/>
        </w:rPr>
        <w:t>For</w:t>
      </w:r>
      <w:r w:rsidR="006F0B65" w:rsidRPr="00694352">
        <w:rPr>
          <w:lang w:val="en-US"/>
        </w:rPr>
        <w:t xml:space="preserve"> example, if  </w:t>
      </w:r>
      <w:r w:rsidR="006F0B65" w:rsidRPr="00694352">
        <w:rPr>
          <w:lang w:val="en-US"/>
        </w:rPr>
        <w:drawing>
          <wp:inline distT="0" distB="0" distL="0" distR="0" wp14:anchorId="283467B8" wp14:editId="1C7D2EEB">
            <wp:extent cx="676275" cy="11430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76275" cy="114300"/>
                    </a:xfrm>
                    <a:prstGeom prst="rect">
                      <a:avLst/>
                    </a:prstGeom>
                    <a:noFill/>
                    <a:ln>
                      <a:noFill/>
                    </a:ln>
                  </pic:spPr>
                </pic:pic>
              </a:graphicData>
            </a:graphic>
          </wp:inline>
        </w:drawing>
      </w:r>
      <w:r w:rsidR="006F0B65" w:rsidRPr="00694352">
        <w:rPr>
          <w:lang w:val="en-US"/>
        </w:rPr>
        <w:t xml:space="preserve">, </w:t>
      </w:r>
      <w:r w:rsidR="006F0B65" w:rsidRPr="00694352">
        <w:rPr>
          <w:lang w:val="en-US"/>
        </w:rPr>
        <w:drawing>
          <wp:inline distT="0" distB="0" distL="0" distR="0" wp14:anchorId="7D7BCC37" wp14:editId="4C241D6F">
            <wp:extent cx="685800" cy="1238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85800" cy="123825"/>
                    </a:xfrm>
                    <a:prstGeom prst="rect">
                      <a:avLst/>
                    </a:prstGeom>
                    <a:noFill/>
                    <a:ln>
                      <a:noFill/>
                    </a:ln>
                  </pic:spPr>
                </pic:pic>
              </a:graphicData>
            </a:graphic>
          </wp:inline>
        </w:drawing>
      </w:r>
      <w:r w:rsidR="006F0B65" w:rsidRPr="00694352">
        <w:rPr>
          <w:lang w:val="en-US"/>
        </w:rPr>
        <w:t xml:space="preserve"> and we select to use </w:t>
      </w:r>
      <w:r w:rsidR="006F0B65" w:rsidRPr="00694352">
        <w:rPr>
          <w:lang w:val="en-US"/>
        </w:rPr>
        <w:drawing>
          <wp:inline distT="0" distB="0" distL="0" distR="0" wp14:anchorId="11565A09" wp14:editId="3CB7734C">
            <wp:extent cx="542925" cy="1047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2925" cy="104775"/>
                    </a:xfrm>
                    <a:prstGeom prst="rect">
                      <a:avLst/>
                    </a:prstGeom>
                    <a:noFill/>
                    <a:ln>
                      <a:noFill/>
                    </a:ln>
                  </pic:spPr>
                </pic:pic>
              </a:graphicData>
            </a:graphic>
          </wp:inline>
        </w:drawing>
      </w:r>
      <w:r w:rsidR="006F0B65" w:rsidRPr="00694352">
        <w:rPr>
          <w:lang w:val="en-US"/>
        </w:rPr>
        <w:t xml:space="preserve"> and </w:t>
      </w:r>
      <w:r w:rsidR="006F0B65" w:rsidRPr="00694352">
        <w:rPr>
          <w:lang w:val="en-US"/>
        </w:rPr>
        <w:drawing>
          <wp:inline distT="0" distB="0" distL="0" distR="0" wp14:anchorId="38C8CF15" wp14:editId="272FC96F">
            <wp:extent cx="619125" cy="12382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9125" cy="123825"/>
                    </a:xfrm>
                    <a:prstGeom prst="rect">
                      <a:avLst/>
                    </a:prstGeom>
                    <a:noFill/>
                    <a:ln>
                      <a:noFill/>
                    </a:ln>
                  </pic:spPr>
                </pic:pic>
              </a:graphicData>
            </a:graphic>
          </wp:inline>
        </w:drawing>
      </w:r>
      <w:r w:rsidR="006F0B65" w:rsidRPr="00694352">
        <w:rPr>
          <w:lang w:val="en-US"/>
        </w:rPr>
        <w:t xml:space="preserve"> , then SF = 10. </w:t>
      </w:r>
    </w:p>
    <w:p w14:paraId="78E9DCE6" w14:textId="1274B671" w:rsidR="003F6DB8" w:rsidRDefault="00DB197A" w:rsidP="003F6DB8">
      <w:pPr>
        <w:pStyle w:val="Heading3"/>
      </w:pPr>
      <w:proofErr w:type="spellStart"/>
      <w:r>
        <w:t>N</w:t>
      </w:r>
      <w:r w:rsidR="003F6DB8">
        <w:t>.x.y</w:t>
      </w:r>
      <w:proofErr w:type="spellEnd"/>
      <w:r w:rsidR="003F6DB8">
        <w:t xml:space="preserve"> Test signal configuration</w:t>
      </w:r>
    </w:p>
    <w:p w14:paraId="2C47F6BE" w14:textId="5B0E1D8F" w:rsidR="003F6DB8" w:rsidRDefault="003F6DB8" w:rsidP="003F6DB8">
      <w:pPr>
        <w:pStyle w:val="BodyText"/>
        <w:rPr>
          <w:rFonts w:ascii="Calibri" w:eastAsia="MS Mincho" w:hAnsi="Calibri"/>
          <w:sz w:val="22"/>
          <w:szCs w:val="22"/>
          <w:lang w:val="en-CA"/>
        </w:rPr>
      </w:pPr>
      <w:r>
        <w:rPr>
          <w:rFonts w:ascii="Calibri" w:eastAsia="MS Mincho" w:hAnsi="Calibri"/>
          <w:sz w:val="22"/>
          <w:szCs w:val="22"/>
          <w:lang w:val="en-CA"/>
        </w:rPr>
        <w:t>Total test time for a certain emission is depending on two factors, one is the reference angular steps and the other one can be the number of antenna configurations that are going to be tested. We have noticed that the value of unwanted emissions TRP is depending on the beam position and the frequency of the emissions</w:t>
      </w:r>
      <w:r w:rsidR="00DB197A">
        <w:rPr>
          <w:rFonts w:ascii="Calibri" w:eastAsia="MS Mincho" w:hAnsi="Calibri"/>
          <w:sz w:val="22"/>
          <w:szCs w:val="22"/>
          <w:lang w:val="en-CA"/>
        </w:rPr>
        <w:t>, as shown in the fig Nxy-1</w:t>
      </w:r>
      <w:r>
        <w:rPr>
          <w:rFonts w:ascii="Calibri" w:eastAsia="MS Mincho" w:hAnsi="Calibri"/>
          <w:sz w:val="22"/>
          <w:szCs w:val="22"/>
          <w:lang w:val="en-CA"/>
        </w:rPr>
        <w:t>. This implies searching for the worst-case configuration (i.e. the beam position that corresponds to largest TRP for unwanted position) at every emission frequency. Moreover, this implies testing the EUT under static conditions while it will operate under dynamic conditions. To get a reliable test method with low risk to miss emissions we propose to use a beam sweeping test signal</w:t>
      </w:r>
      <w:r w:rsidR="00694C22">
        <w:rPr>
          <w:rFonts w:ascii="Calibri" w:eastAsia="MS Mincho" w:hAnsi="Calibri"/>
          <w:sz w:val="22"/>
          <w:szCs w:val="22"/>
          <w:lang w:val="en-CA"/>
        </w:rPr>
        <w:t>.</w:t>
      </w:r>
    </w:p>
    <w:p w14:paraId="5FD19583" w14:textId="77777777" w:rsidR="003F6DB8" w:rsidRDefault="003F6DB8" w:rsidP="003F6DB8">
      <w:pPr>
        <w:pStyle w:val="BodyText"/>
        <w:jc w:val="center"/>
      </w:pPr>
      <w:r>
        <w:rPr>
          <w:noProof/>
        </w:rPr>
        <w:lastRenderedPageBreak/>
        <w:drawing>
          <wp:inline distT="0" distB="0" distL="0" distR="0" wp14:anchorId="1B687957" wp14:editId="1203B84E">
            <wp:extent cx="4114963" cy="2224304"/>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114963" cy="2224304"/>
                    </a:xfrm>
                    <a:prstGeom prst="rect">
                      <a:avLst/>
                    </a:prstGeom>
                  </pic:spPr>
                </pic:pic>
              </a:graphicData>
            </a:graphic>
          </wp:inline>
        </w:drawing>
      </w:r>
    </w:p>
    <w:p w14:paraId="0661AF2A" w14:textId="233F5549" w:rsidR="003F6DB8" w:rsidRDefault="003F6DB8" w:rsidP="00DB197A">
      <w:pPr>
        <w:pStyle w:val="BodyText"/>
      </w:pPr>
      <w:r>
        <w:t xml:space="preserve">Figure </w:t>
      </w:r>
      <w:r w:rsidR="00DB197A">
        <w:t>Nxy-1</w:t>
      </w:r>
      <w:r>
        <w:t>: Example of TRP dependence on beam</w:t>
      </w:r>
      <w:r w:rsidR="00694352">
        <w:t xml:space="preserve"> position</w:t>
      </w:r>
      <w:r>
        <w:t xml:space="preserve">. The variation in TRP is caused by mutual coupling </w:t>
      </w:r>
      <w:r w:rsidR="00694C22">
        <w:t xml:space="preserve">between antenna array’s elements, </w:t>
      </w:r>
      <w:r>
        <w:t>in this case.</w:t>
      </w:r>
      <w:r w:rsidR="00945A6B">
        <w:t xml:space="preserve"> In this example the beam can be moved in 45 predefined positions (beam index) in a </w:t>
      </w:r>
      <w:proofErr w:type="gramStart"/>
      <w:r w:rsidR="00945A6B">
        <w:t>120 deg.</w:t>
      </w:r>
      <w:proofErr w:type="gramEnd"/>
      <w:r w:rsidR="00945A6B">
        <w:t xml:space="preserve"> azimuth and 30 deg. elevation.</w:t>
      </w:r>
    </w:p>
    <w:p w14:paraId="6C89994D" w14:textId="67D7DE64" w:rsidR="003F6DB8" w:rsidRDefault="003F6DB8" w:rsidP="003F6DB8">
      <w:pPr>
        <w:pStyle w:val="BodyText"/>
      </w:pPr>
      <w:r>
        <w:rPr>
          <w:rFonts w:ascii="Calibri" w:eastAsia="MS Mincho" w:hAnsi="Calibri"/>
          <w:sz w:val="22"/>
          <w:szCs w:val="22"/>
          <w:lang w:val="en-CA"/>
        </w:rPr>
        <w:t>The effect of using a beam sweeping test signal on the convergence of sparse sampling is shown in the figures below as the error in TRP vs. SF, for full sphere and two cuts grids</w:t>
      </w:r>
      <w:r w:rsidR="00DB197A">
        <w:rPr>
          <w:rFonts w:ascii="Calibri" w:eastAsia="MS Mincho" w:hAnsi="Calibri"/>
          <w:sz w:val="22"/>
          <w:szCs w:val="22"/>
          <w:lang w:val="en-CA"/>
        </w:rPr>
        <w:t xml:space="preserve"> (see </w:t>
      </w:r>
      <w:r w:rsidR="00DB197A" w:rsidRPr="00DB197A">
        <w:rPr>
          <w:rFonts w:ascii="Calibri" w:eastAsia="MS Mincho" w:hAnsi="Calibri"/>
          <w:sz w:val="22"/>
          <w:szCs w:val="22"/>
          <w:highlight w:val="yellow"/>
          <w:lang w:val="en-CA"/>
        </w:rPr>
        <w:t>Appendix A and B</w:t>
      </w:r>
      <w:r w:rsidR="00DB197A">
        <w:rPr>
          <w:rFonts w:ascii="Calibri" w:eastAsia="MS Mincho" w:hAnsi="Calibri"/>
          <w:sz w:val="22"/>
          <w:szCs w:val="22"/>
          <w:lang w:val="en-CA"/>
        </w:rPr>
        <w:t>)</w:t>
      </w:r>
      <w:r>
        <w:rPr>
          <w:rFonts w:ascii="Calibri" w:eastAsia="MS Mincho" w:hAnsi="Calibri"/>
          <w:sz w:val="22"/>
          <w:szCs w:val="22"/>
          <w:lang w:val="en-CA"/>
        </w:rPr>
        <w:t xml:space="preserve">. For both grids, beam sweeping will result in significantly smaller errors, especially if larger SF is considered. This reduction in the number of samples, combined with the fact that only one configuration must be tested, will significantly reduce the total testing time and complexity. Regarding the 2-cut grid, it is noteworthy that the individual beams can lead to large error, while the beam sweeping average leads to an overestimation error of around 2 dB regardless of SF. These results are obtained by simulations, </w:t>
      </w:r>
      <w:proofErr w:type="gramStart"/>
      <w:r w:rsidR="00694C22">
        <w:rPr>
          <w:rFonts w:ascii="Calibri" w:eastAsia="MS Mincho" w:hAnsi="Calibri"/>
          <w:sz w:val="22"/>
          <w:szCs w:val="22"/>
          <w:lang w:val="en-CA"/>
        </w:rPr>
        <w:t>and also</w:t>
      </w:r>
      <w:proofErr w:type="gramEnd"/>
      <w:r w:rsidR="00694C22">
        <w:rPr>
          <w:rFonts w:ascii="Calibri" w:eastAsia="MS Mincho" w:hAnsi="Calibri"/>
          <w:sz w:val="22"/>
          <w:szCs w:val="22"/>
          <w:lang w:val="en-CA"/>
        </w:rPr>
        <w:t xml:space="preserve"> </w:t>
      </w:r>
      <w:r>
        <w:rPr>
          <w:rFonts w:ascii="Calibri" w:eastAsia="MS Mincho" w:hAnsi="Calibri"/>
          <w:sz w:val="22"/>
          <w:szCs w:val="22"/>
          <w:lang w:val="en-CA"/>
        </w:rPr>
        <w:t>been verified by real lab measurements.</w:t>
      </w:r>
    </w:p>
    <w:p w14:paraId="75CAFDE7" w14:textId="77777777" w:rsidR="003F6DB8" w:rsidRDefault="003F6DB8" w:rsidP="003F6DB8">
      <w:pPr>
        <w:jc w:val="center"/>
      </w:pPr>
      <w:r>
        <w:rPr>
          <w:rFonts w:ascii="Times New Roman" w:eastAsia="Times New Roman" w:hAnsi="Times New Roman"/>
          <w:noProof/>
          <w:szCs w:val="20"/>
        </w:rPr>
        <w:lastRenderedPageBreak/>
        <w:drawing>
          <wp:inline distT="0" distB="0" distL="0" distR="0" wp14:anchorId="33C23691" wp14:editId="3CB4354A">
            <wp:extent cx="3978636" cy="4192459"/>
            <wp:effectExtent l="0" t="0" r="2814" b="0"/>
            <wp:docPr id="34" name="Picture 5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rcRect/>
                    <a:stretch>
                      <a:fillRect/>
                    </a:stretch>
                  </pic:blipFill>
                  <pic:spPr>
                    <a:xfrm>
                      <a:off x="0" y="0"/>
                      <a:ext cx="3978636" cy="4192459"/>
                    </a:xfrm>
                    <a:prstGeom prst="rect">
                      <a:avLst/>
                    </a:prstGeom>
                    <a:noFill/>
                    <a:ln>
                      <a:noFill/>
                      <a:prstDash/>
                    </a:ln>
                  </pic:spPr>
                </pic:pic>
              </a:graphicData>
            </a:graphic>
          </wp:inline>
        </w:drawing>
      </w:r>
    </w:p>
    <w:p w14:paraId="077B8C85" w14:textId="7C426B20" w:rsidR="003F6DB8" w:rsidRDefault="003F6DB8" w:rsidP="003F6DB8">
      <w:pPr>
        <w:jc w:val="center"/>
      </w:pPr>
      <w:r>
        <w:t xml:space="preserve">Figure </w:t>
      </w:r>
      <w:r w:rsidR="00DB197A">
        <w:t>Nxy-2</w:t>
      </w:r>
      <w:r>
        <w:t xml:space="preserve">: An example of TRP accuracy vs Sparse sampling when a fixed beam or a beam sweeping is used. The upper figure is based on full sphere sampling and the lower on a </w:t>
      </w:r>
      <w:r w:rsidR="00694C22">
        <w:t>2-</w:t>
      </w:r>
      <w:r>
        <w:t>cut grid. The right side of the gray background rectangle corresponds to angular step of 15 deg.</w:t>
      </w:r>
      <w:r w:rsidR="00694C22">
        <w:t xml:space="preserve"> Individual curves correspond to different beam positions</w:t>
      </w:r>
      <w:r w:rsidR="00945A6B">
        <w:t xml:space="preserve"> (beam index)</w:t>
      </w:r>
      <w:r w:rsidR="00694C22">
        <w:t>.</w:t>
      </w:r>
    </w:p>
    <w:p w14:paraId="57852F36" w14:textId="5A8C3196" w:rsidR="003F6DB8" w:rsidRDefault="003F6DB8" w:rsidP="003F6DB8">
      <w:pPr>
        <w:rPr>
          <w:rFonts w:ascii="Times New Roman" w:eastAsia="Times New Roman" w:hAnsi="Times New Roman"/>
          <w:szCs w:val="20"/>
        </w:rPr>
      </w:pPr>
      <w:r>
        <w:rPr>
          <w:rFonts w:ascii="Times New Roman" w:eastAsia="Times New Roman" w:hAnsi="Times New Roman"/>
          <w:szCs w:val="20"/>
        </w:rPr>
        <w:t>The beam of the AAS BS shall be swept between the declared maximum beam positions during one beam sweep period (BSP). The beam switching time between beams must be at least as short as used in real operation.</w:t>
      </w:r>
      <w:r w:rsidR="00694C22">
        <w:rPr>
          <w:rFonts w:ascii="Times New Roman" w:eastAsia="Times New Roman" w:hAnsi="Times New Roman"/>
          <w:szCs w:val="20"/>
        </w:rPr>
        <w:t xml:space="preserve"> </w:t>
      </w:r>
      <w:r>
        <w:rPr>
          <w:rFonts w:ascii="Times New Roman" w:eastAsia="Times New Roman" w:hAnsi="Times New Roman"/>
          <w:szCs w:val="20"/>
        </w:rPr>
        <w:t>The angular step when using beam sweeping is</w:t>
      </w:r>
      <w:r w:rsidR="00945A6B">
        <w:rPr>
          <w:rFonts w:ascii="Times New Roman" w:eastAsia="Times New Roman" w:hAnsi="Times New Roman"/>
          <w:szCs w:val="20"/>
        </w:rPr>
        <w:t xml:space="preserve"> depending on the angular spread of the beams, but in most cases a 15deg. would be sufficient.</w:t>
      </w:r>
      <w:r>
        <w:rPr>
          <w:rFonts w:ascii="Times New Roman" w:eastAsia="Times New Roman" w:hAnsi="Times New Roman"/>
          <w:szCs w:val="20"/>
        </w:rPr>
        <w:t xml:space="preserve"> </w:t>
      </w:r>
      <w:r w:rsidRPr="00694C22">
        <w:rPr>
          <w:rFonts w:ascii="Times New Roman" w:eastAsia="Times New Roman" w:hAnsi="Times New Roman"/>
          <w:szCs w:val="20"/>
          <w:highlight w:val="yellow"/>
        </w:rPr>
        <w:t>FFS</w:t>
      </w:r>
      <w:r>
        <w:rPr>
          <w:rFonts w:ascii="Times New Roman" w:eastAsia="Times New Roman" w:hAnsi="Times New Roman"/>
          <w:szCs w:val="20"/>
        </w:rPr>
        <w:t>.</w:t>
      </w:r>
    </w:p>
    <w:p w14:paraId="2B710FB2" w14:textId="77777777" w:rsidR="003F6DB8" w:rsidRDefault="003F6DB8" w:rsidP="003F6DB8">
      <w:r>
        <w:rPr>
          <w:rFonts w:ascii="Times New Roman" w:eastAsia="Times New Roman" w:hAnsi="Times New Roman"/>
          <w:szCs w:val="20"/>
        </w:rPr>
        <w:t>Each angular position must be kept for the minimum duration of one BSP. It is recommended to keep the angular position for as many BSPs as practically possible. The recorded power values shall be compensated for the used duty cycle of the transmitter.  Information on how to trigger the test signal, as well as the total transmitter BSP shall be supplied by the manufacturer.</w:t>
      </w:r>
    </w:p>
    <w:p w14:paraId="2B73FAC7" w14:textId="77777777" w:rsidR="003F6DB8" w:rsidRDefault="003F6DB8" w:rsidP="003F6DB8">
      <w:pPr>
        <w:rPr>
          <w:rFonts w:ascii="Times New Roman" w:eastAsia="Times New Roman" w:hAnsi="Times New Roman"/>
          <w:szCs w:val="20"/>
        </w:rPr>
      </w:pPr>
      <w:r>
        <w:rPr>
          <w:rFonts w:ascii="Times New Roman" w:eastAsia="Times New Roman" w:hAnsi="Times New Roman"/>
          <w:szCs w:val="20"/>
        </w:rPr>
        <w:t xml:space="preserve">During the measurement process the average of the radiated power flux from different beam setups are measured at each measurement point. This averaging match well with the fact that TRP is a spatial average of the measured values at different directions. If instead maximum value is to be recorded for each point during the beam-sweeping, the resulting TRP estimate will be an overestimate by a wide margin. </w:t>
      </w:r>
    </w:p>
    <w:p w14:paraId="2CAA91E9" w14:textId="77777777" w:rsidR="00D30E94" w:rsidRDefault="00D30E94"/>
    <w:p w14:paraId="05A7F1AD" w14:textId="7D3B2E82" w:rsidR="00412BC4" w:rsidRDefault="00665395" w:rsidP="00412BC4">
      <w:pPr>
        <w:pStyle w:val="Heading3"/>
      </w:pPr>
      <w:proofErr w:type="spellStart"/>
      <w:r>
        <w:lastRenderedPageBreak/>
        <w:t>M</w:t>
      </w:r>
      <w:r w:rsidR="00412BC4">
        <w:t>.x.y</w:t>
      </w:r>
      <w:proofErr w:type="spellEnd"/>
      <w:r w:rsidR="00412BC4">
        <w:t xml:space="preserve"> Measurement setup</w:t>
      </w:r>
    </w:p>
    <w:p w14:paraId="186307FF" w14:textId="77777777" w:rsidR="00412BC4" w:rsidRDefault="00412BC4">
      <w:pPr>
        <w:spacing w:after="0"/>
      </w:pPr>
    </w:p>
    <w:p w14:paraId="4DCC117F" w14:textId="29435D67" w:rsidR="00D30E94" w:rsidRDefault="00A506A5">
      <w:pPr>
        <w:spacing w:after="0"/>
      </w:pPr>
      <w:r>
        <w:t>The proposed test method for measuring OTA unwanted emissions assumes usage of traditional test facilities, such as Compact Antenna Test Ranges (CATRs) or indoor Shielded Anechoic Chambers (SACs)</w:t>
      </w:r>
      <w:r w:rsidR="0055021F">
        <w:t>, see also [3]</w:t>
      </w:r>
      <w:r>
        <w:t xml:space="preserve">.  In figure 3-1 an example test set up is shown. </w:t>
      </w:r>
    </w:p>
    <w:p w14:paraId="28C81B1E" w14:textId="77777777" w:rsidR="00D30E94" w:rsidRDefault="00D30E94">
      <w:pPr>
        <w:keepNext/>
        <w:spacing w:after="0"/>
        <w:rPr>
          <w:rFonts w:ascii="Times New Roman" w:eastAsia="Times New Roman" w:hAnsi="Times New Roman"/>
          <w:szCs w:val="20"/>
        </w:rPr>
      </w:pPr>
    </w:p>
    <w:p w14:paraId="1FC5098B" w14:textId="77777777" w:rsidR="00D30E94" w:rsidRDefault="00A506A5">
      <w:pPr>
        <w:pStyle w:val="BodyText"/>
        <w:ind w:firstLine="1276"/>
      </w:pPr>
      <w:r>
        <w:rPr>
          <w:noProof/>
          <w:sz w:val="22"/>
          <w:lang w:val="en-CA"/>
        </w:rPr>
        <w:drawing>
          <wp:inline distT="0" distB="0" distL="0" distR="0" wp14:anchorId="7B187C53" wp14:editId="75667622">
            <wp:extent cx="4705346" cy="2969815"/>
            <wp:effectExtent l="0" t="0" r="4" b="1985"/>
            <wp:docPr id="10"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705346" cy="2969815"/>
                    </a:xfrm>
                    <a:prstGeom prst="rect">
                      <a:avLst/>
                    </a:prstGeom>
                    <a:noFill/>
                    <a:ln>
                      <a:noFill/>
                      <a:prstDash/>
                    </a:ln>
                  </pic:spPr>
                </pic:pic>
              </a:graphicData>
            </a:graphic>
          </wp:inline>
        </w:drawing>
      </w:r>
    </w:p>
    <w:p w14:paraId="650BE373" w14:textId="77777777" w:rsidR="00D30E94" w:rsidRDefault="00A506A5" w:rsidP="000C5208">
      <w:pPr>
        <w:spacing w:after="0"/>
        <w:jc w:val="center"/>
      </w:pPr>
      <w:r>
        <w:t>Figure 3-1: Example of test setup.</w:t>
      </w:r>
    </w:p>
    <w:p w14:paraId="14219756" w14:textId="77777777" w:rsidR="000C5208" w:rsidRDefault="000C5208" w:rsidP="00C5027F">
      <w:pPr>
        <w:spacing w:after="0"/>
        <w:jc w:val="center"/>
      </w:pPr>
    </w:p>
    <w:p w14:paraId="67B76893" w14:textId="4211F61D" w:rsidR="00D30E94" w:rsidRDefault="00A506A5">
      <w:pPr>
        <w:spacing w:after="0"/>
      </w:pPr>
      <w:r>
        <w:t xml:space="preserve">The test object is mounted on a positioner, see Figure 3-1. The positioner is used to move the test object according to the sampling grid. A measurement antenna is placed in the chamber at a suitable distance. The test distance must be: </w:t>
      </w:r>
      <w:r w:rsidRPr="00CD223A">
        <w:rPr>
          <w:highlight w:val="yellow"/>
        </w:rPr>
        <w:t>1) larger than the far field distance of the measurement antenna, and 2) selected such that the EUT is illuminated by the Half Power Beam Width (HPBW) of the measurement antenna.</w:t>
      </w:r>
      <w:r>
        <w:t xml:space="preserve"> To maximize the SNR and minimize the influence of reflections in the chamber, the test distance can be adjusted so that the HPBW of the measurement antenna just covers the EUT. The measured quantity is the power density of the electromagnetic field (or EIRP in case the test distance is larger than or equal to the far-field distance of the EUT). Two partial values of power density for two orthogonal linear polarizations shall be recorded and summed at each angular point of the measurement grid and for each frequency. An appropriate band reject filter can be used to protect the measurement receiver from the wanted signal. The Low Noise Amplifier (LNA) can be used to increase the dynamic range for the measurement receiver.</w:t>
      </w:r>
    </w:p>
    <w:p w14:paraId="0233C14C" w14:textId="77777777" w:rsidR="00D30E94" w:rsidRDefault="00D30E94">
      <w:pPr>
        <w:spacing w:after="0"/>
      </w:pPr>
    </w:p>
    <w:p w14:paraId="168B37AF" w14:textId="45CE0B57" w:rsidR="00D30E94" w:rsidRDefault="00A506A5">
      <w:pPr>
        <w:spacing w:after="0"/>
      </w:pPr>
      <w:r>
        <w:t xml:space="preserve">Procedures for TRP measurements require grid selection which comprises of choosing appropriate measurement (i) grid spatial sampling step and (ii) grid type based on various EUT design factors and test chamber equipment. </w:t>
      </w:r>
      <w:r w:rsidR="00DB197A">
        <w:t xml:space="preserve">Hereafter </w:t>
      </w:r>
      <w:r>
        <w:t xml:space="preserve">we primarily discuss the spherical grid, </w:t>
      </w:r>
      <w:proofErr w:type="gramStart"/>
      <w:r>
        <w:t>assuming that</w:t>
      </w:r>
      <w:proofErr w:type="gramEnd"/>
      <w:r>
        <w:t xml:space="preserve"> the turntable is designed for making full sphere measurements</w:t>
      </w:r>
      <w:r w:rsidR="005E4BFA">
        <w:t xml:space="preserve"> [3]</w:t>
      </w:r>
      <w:r>
        <w:t xml:space="preserve">. However, to also account for the case when the </w:t>
      </w:r>
      <w:r>
        <w:lastRenderedPageBreak/>
        <w:t xml:space="preserve">turntable can only be rotated in the horizontal plane, while elevation is adjusted manually, we consider the </w:t>
      </w:r>
      <w:r w:rsidR="00DB197A">
        <w:t xml:space="preserve">two </w:t>
      </w:r>
      <w:proofErr w:type="gramStart"/>
      <w:r>
        <w:t>cut</w:t>
      </w:r>
      <w:proofErr w:type="gramEnd"/>
      <w:r>
        <w:t xml:space="preserve"> or </w:t>
      </w:r>
      <w:r w:rsidR="00DB197A">
        <w:t xml:space="preserve">three </w:t>
      </w:r>
      <w:r>
        <w:t>cut orthogonal grid.</w:t>
      </w:r>
    </w:p>
    <w:p w14:paraId="2156EA34" w14:textId="17E7163F" w:rsidR="00454AA2" w:rsidRDefault="00454AA2" w:rsidP="00454AA2">
      <w:pPr>
        <w:pStyle w:val="Heading3"/>
      </w:pPr>
      <w:proofErr w:type="spellStart"/>
      <w:r>
        <w:t>M.x.y</w:t>
      </w:r>
      <w:proofErr w:type="spellEnd"/>
      <w:r>
        <w:t xml:space="preserve"> Near-field vs Far-field measurement points</w:t>
      </w:r>
    </w:p>
    <w:p w14:paraId="6371D721" w14:textId="77777777" w:rsidR="00454AA2" w:rsidRPr="00CD223A" w:rsidRDefault="00454AA2">
      <w:pPr>
        <w:spacing w:after="0"/>
        <w:rPr>
          <w:lang w:val="en-GB"/>
        </w:rPr>
      </w:pPr>
    </w:p>
    <w:p w14:paraId="75E3FB75" w14:textId="16116606" w:rsidR="00D30E94" w:rsidRDefault="00CD223A" w:rsidP="00CD223A">
      <w:r w:rsidRPr="00CD223A">
        <w:t>The rationale for near field measurements is that any amount of power that radiates through a sphere enclosing the Equipment Under Test (EUT) also will radiate through any other sphere enclosing the EUT, i.e., energy conservation.</w:t>
      </w:r>
    </w:p>
    <w:p w14:paraId="312B058A" w14:textId="0BB45F3A" w:rsidR="00CD223A" w:rsidRPr="00CD223A" w:rsidRDefault="00CD223A" w:rsidP="00CD223A">
      <w:pPr>
        <w:rPr>
          <w:lang w:val="en-GB"/>
        </w:rPr>
      </w:pPr>
      <w:r w:rsidRPr="00CD223A">
        <w:rPr>
          <w:lang w:val="en-GB"/>
        </w:rPr>
        <w:t>The relevant physical quantity that needs to be measured to determine the total power flowing through a surface is the power flux density at perpendicular angles to the surface. Any power flow along the surface will not contribute to the net power flux through the surface. In the far-field region the tangential power flux is negligible and therefore the angular power density pattern cannot change with radius, whereas in the near-field the angular power pattern will change with radius due to the tangential power flux. A schematic picture of this is shown in Figure 1.</w:t>
      </w:r>
      <w:r w:rsidR="002A51F2">
        <w:rPr>
          <w:lang w:val="en-GB"/>
        </w:rPr>
        <w:t xml:space="preserve"> </w:t>
      </w:r>
      <w:r w:rsidRPr="00CD223A">
        <w:rPr>
          <w:lang w:val="en-GB"/>
        </w:rPr>
        <w:t>The radial power flux through the orange surfaces is the radial power flux density S</w:t>
      </w:r>
      <w:r w:rsidRPr="00CD223A">
        <w:rPr>
          <w:vertAlign w:val="subscript"/>
          <w:lang w:val="en-GB"/>
        </w:rPr>
        <w:t>r</w:t>
      </w:r>
      <w:r w:rsidRPr="00CD223A">
        <w:rPr>
          <w:lang w:val="en-GB"/>
        </w:rPr>
        <w:t xml:space="preserve"> times the area of the orange surface. At r</w:t>
      </w:r>
      <w:r w:rsidRPr="00CD223A">
        <w:rPr>
          <w:vertAlign w:val="subscript"/>
          <w:lang w:val="en-GB"/>
        </w:rPr>
        <w:t>2</w:t>
      </w:r>
      <w:r w:rsidRPr="00CD223A">
        <w:rPr>
          <w:lang w:val="en-GB"/>
        </w:rPr>
        <w:t xml:space="preserve"> and r</w:t>
      </w:r>
      <w:r w:rsidRPr="00CD223A">
        <w:rPr>
          <w:vertAlign w:val="subscript"/>
          <w:lang w:val="en-GB"/>
        </w:rPr>
        <w:t>3</w:t>
      </w:r>
      <w:r w:rsidRPr="00CD223A">
        <w:rPr>
          <w:lang w:val="en-GB"/>
        </w:rPr>
        <w:t xml:space="preserve"> there is far-field conditions (no tangential power flux) and the power through the orange surfaces at r</w:t>
      </w:r>
      <w:r w:rsidRPr="00CD223A">
        <w:rPr>
          <w:vertAlign w:val="subscript"/>
          <w:lang w:val="en-GB"/>
        </w:rPr>
        <w:t>2</w:t>
      </w:r>
      <w:r w:rsidRPr="00CD223A">
        <w:rPr>
          <w:lang w:val="en-GB"/>
        </w:rPr>
        <w:t xml:space="preserve"> and r</w:t>
      </w:r>
      <w:r w:rsidRPr="00CD223A">
        <w:rPr>
          <w:vertAlign w:val="subscript"/>
          <w:lang w:val="en-GB"/>
        </w:rPr>
        <w:t>3</w:t>
      </w:r>
      <w:r w:rsidRPr="00CD223A">
        <w:rPr>
          <w:lang w:val="en-GB"/>
        </w:rPr>
        <w:t xml:space="preserve"> are the same. The decrease in power flux density is perfectly balanced by the increase in area. At r</w:t>
      </w:r>
      <w:r w:rsidRPr="00CD223A">
        <w:rPr>
          <w:vertAlign w:val="subscript"/>
          <w:lang w:val="en-GB"/>
        </w:rPr>
        <w:t>1</w:t>
      </w:r>
      <w:r w:rsidRPr="00CD223A">
        <w:rPr>
          <w:lang w:val="en-GB"/>
        </w:rPr>
        <w:t xml:space="preserve"> there is near-field conditions and the non-zero tangential power flux S</w:t>
      </w:r>
      <w:r w:rsidRPr="00CD223A">
        <w:rPr>
          <w:vertAlign w:val="subscript"/>
          <w:lang w:val="en-GB"/>
        </w:rPr>
        <w:t>t</w:t>
      </w:r>
      <w:r w:rsidRPr="00CD223A">
        <w:rPr>
          <w:lang w:val="en-GB"/>
        </w:rPr>
        <w:t xml:space="preserve"> implies that the power “leaks” between adjacent tubes implying that the angular power pattern changes with radius in the near-field region. However, due to energy conservation the integrated radial power flux over all angles (all tubes) covering a full sphere and at any fixed radius will give the same result, namely the TRP.</w:t>
      </w:r>
    </w:p>
    <w:p w14:paraId="5A8050CE" w14:textId="77777777" w:rsidR="00CD223A" w:rsidRPr="00CD223A" w:rsidRDefault="00CD223A" w:rsidP="00CD223A">
      <w:pPr>
        <w:rPr>
          <w:lang w:val="en-GB"/>
        </w:rPr>
      </w:pPr>
    </w:p>
    <w:p w14:paraId="07A8C83B" w14:textId="1C848896" w:rsidR="00CD223A" w:rsidRPr="00CD223A" w:rsidRDefault="00CD223A" w:rsidP="00CD223A">
      <w:pPr>
        <w:jc w:val="center"/>
        <w:rPr>
          <w:lang w:val="en-GB"/>
        </w:rPr>
      </w:pPr>
      <w:r w:rsidRPr="00CD223A">
        <w:rPr>
          <w:noProof/>
          <w:lang w:val="en-GB"/>
        </w:rPr>
        <w:drawing>
          <wp:inline distT="0" distB="0" distL="0" distR="0" wp14:anchorId="27EC594F" wp14:editId="63C520B4">
            <wp:extent cx="3143250" cy="34575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43250" cy="3457575"/>
                    </a:xfrm>
                    <a:prstGeom prst="rect">
                      <a:avLst/>
                    </a:prstGeom>
                    <a:noFill/>
                    <a:ln>
                      <a:noFill/>
                    </a:ln>
                  </pic:spPr>
                </pic:pic>
              </a:graphicData>
            </a:graphic>
          </wp:inline>
        </w:drawing>
      </w:r>
    </w:p>
    <w:p w14:paraId="7116274B" w14:textId="77777777" w:rsidR="00CD223A" w:rsidRPr="00CD223A" w:rsidRDefault="00CD223A" w:rsidP="00CD223A">
      <w:pPr>
        <w:rPr>
          <w:lang w:val="en-GB"/>
        </w:rPr>
      </w:pPr>
      <w:r w:rsidRPr="00CD223A">
        <w:rPr>
          <w:b/>
          <w:lang w:val="en-GB"/>
        </w:rPr>
        <w:lastRenderedPageBreak/>
        <w:t>Figure 1:</w:t>
      </w:r>
      <w:r w:rsidRPr="00CD223A">
        <w:rPr>
          <w:lang w:val="en-GB"/>
        </w:rPr>
        <w:t xml:space="preserve"> The radial power flux density along a radial tube. </w:t>
      </w:r>
    </w:p>
    <w:p w14:paraId="79EE5A5C" w14:textId="77777777" w:rsidR="00CD223A" w:rsidRPr="00CD223A" w:rsidRDefault="00CD223A" w:rsidP="00CD223A">
      <w:pPr>
        <w:rPr>
          <w:lang w:val="en-GB"/>
        </w:rPr>
      </w:pPr>
      <w:r w:rsidRPr="002A51F2">
        <w:rPr>
          <w:i/>
          <w:lang w:val="en-GB"/>
        </w:rPr>
        <w:t>Hence, TRP can be measured in the near-field by measuring radial power flux density.</w:t>
      </w:r>
      <w:r w:rsidRPr="00CD223A">
        <w:rPr>
          <w:lang w:val="en-GB"/>
        </w:rPr>
        <w:t xml:space="preserve"> The latter is investigated in detail in [4]. However, </w:t>
      </w:r>
      <w:proofErr w:type="gramStart"/>
      <w:r w:rsidRPr="00CD223A">
        <w:rPr>
          <w:lang w:val="en-GB"/>
        </w:rPr>
        <w:t>due to the effect</w:t>
      </w:r>
      <w:proofErr w:type="gramEnd"/>
      <w:r w:rsidRPr="00CD223A">
        <w:rPr>
          <w:lang w:val="en-GB"/>
        </w:rPr>
        <w:t xml:space="preserve"> of the tangential power flux in the near-field, far-field quantities like EIRP and EIS </w:t>
      </w:r>
      <w:proofErr w:type="spellStart"/>
      <w:r w:rsidRPr="00CD223A">
        <w:rPr>
          <w:lang w:val="en-GB"/>
        </w:rPr>
        <w:t>can not</w:t>
      </w:r>
      <w:proofErr w:type="spellEnd"/>
      <w:r w:rsidRPr="00CD223A">
        <w:rPr>
          <w:lang w:val="en-GB"/>
        </w:rPr>
        <w:t xml:space="preserve"> be correctly assessed in the near-field region.</w:t>
      </w:r>
    </w:p>
    <w:p w14:paraId="480D6DD6" w14:textId="622EA551" w:rsidR="00CD223A" w:rsidRPr="00CD223A" w:rsidRDefault="002A51F2" w:rsidP="00CD223A">
      <w:pPr>
        <w:rPr>
          <w:lang w:val="en-GB"/>
        </w:rPr>
      </w:pPr>
      <w:r>
        <w:rPr>
          <w:lang w:val="en-GB"/>
        </w:rPr>
        <w:t>Hereafter we</w:t>
      </w:r>
      <w:r w:rsidR="00CD223A" w:rsidRPr="00CD223A">
        <w:rPr>
          <w:lang w:val="en-GB"/>
        </w:rPr>
        <w:t xml:space="preserve"> present some findings on measurement of radial power density flux S</w:t>
      </w:r>
      <w:r w:rsidR="00CD223A" w:rsidRPr="00CD223A">
        <w:rPr>
          <w:vertAlign w:val="subscript"/>
          <w:lang w:val="en-GB"/>
        </w:rPr>
        <w:t xml:space="preserve">r </w:t>
      </w:r>
      <w:r w:rsidR="00CD223A" w:rsidRPr="00CD223A">
        <w:rPr>
          <w:lang w:val="en-GB"/>
        </w:rPr>
        <w:t xml:space="preserve">in the near-field region </w:t>
      </w:r>
      <w:proofErr w:type="gramStart"/>
      <w:r w:rsidR="00CD223A" w:rsidRPr="00CD223A">
        <w:rPr>
          <w:lang w:val="en-GB"/>
        </w:rPr>
        <w:t>in order to</w:t>
      </w:r>
      <w:proofErr w:type="gramEnd"/>
      <w:r w:rsidR="00CD223A" w:rsidRPr="00CD223A">
        <w:rPr>
          <w:lang w:val="en-GB"/>
        </w:rPr>
        <w:t xml:space="preserve"> assess Total Radiated Power (TRP) from measurements on a spherical surface. More details are found in [</w:t>
      </w:r>
      <w:r>
        <w:rPr>
          <w:lang w:val="en-GB"/>
        </w:rPr>
        <w:t>6</w:t>
      </w:r>
      <w:r w:rsidR="00CD223A" w:rsidRPr="00CD223A">
        <w:rPr>
          <w:lang w:val="en-GB"/>
        </w:rPr>
        <w:t>]. The main results of [</w:t>
      </w:r>
      <w:r>
        <w:rPr>
          <w:lang w:val="en-GB"/>
        </w:rPr>
        <w:t>6</w:t>
      </w:r>
      <w:r w:rsidR="00CD223A" w:rsidRPr="00CD223A">
        <w:rPr>
          <w:lang w:val="en-GB"/>
        </w:rPr>
        <w:t xml:space="preserve">] is that power flux density can be obtained from measurements following standard EIRP procedures. Such procedures are based on measurement of tangential electric field components. The distance between the measurement sphere and the EUT must be a couple of wave lengths to avoid magnetic near-field effects. The test distance must also be larger than the far-field distance of the measurement antenna </w:t>
      </w:r>
      <w:proofErr w:type="gramStart"/>
      <w:r w:rsidR="00CD223A" w:rsidRPr="00CD223A">
        <w:rPr>
          <w:lang w:val="en-GB"/>
        </w:rPr>
        <w:t>in order to</w:t>
      </w:r>
      <w:proofErr w:type="gramEnd"/>
      <w:r w:rsidR="00CD223A" w:rsidRPr="00CD223A">
        <w:rPr>
          <w:lang w:val="en-GB"/>
        </w:rPr>
        <w:t xml:space="preserve"> minimize picking up contributions from tangential power flux. In </w:t>
      </w:r>
      <w:proofErr w:type="gramStart"/>
      <w:r w:rsidR="00CD223A" w:rsidRPr="00CD223A">
        <w:rPr>
          <w:lang w:val="en-GB"/>
        </w:rPr>
        <w:t>addition</w:t>
      </w:r>
      <w:proofErr w:type="gramEnd"/>
      <w:r w:rsidR="00CD223A" w:rsidRPr="00CD223A">
        <w:rPr>
          <w:lang w:val="en-GB"/>
        </w:rPr>
        <w:t xml:space="preserve"> the measurement antenna must be small enough to sample a practically constant field. A closed form criterion is provided in [</w:t>
      </w:r>
      <w:r>
        <w:rPr>
          <w:lang w:val="en-GB"/>
        </w:rPr>
        <w:t>6</w:t>
      </w:r>
      <w:r w:rsidR="00CD223A" w:rsidRPr="00CD223A">
        <w:rPr>
          <w:lang w:val="en-GB"/>
        </w:rPr>
        <w:t>]. This implies that the measurement antenna illuminates the EUT with a practically uniform field. The far-field distance of the EUT is not a relevant parameter when determining at which test distances an accurate radial power density flux can be measured.</w:t>
      </w:r>
    </w:p>
    <w:p w14:paraId="4BD0C5A3" w14:textId="77777777" w:rsidR="002A51F2" w:rsidRPr="002A51F2" w:rsidRDefault="002A51F2" w:rsidP="002A51F2">
      <w:pPr>
        <w:rPr>
          <w:lang w:val="en-GB"/>
        </w:rPr>
      </w:pPr>
      <w:r w:rsidRPr="002A51F2">
        <w:rPr>
          <w:lang w:val="en-GB"/>
        </w:rPr>
        <w:t>At high frequencies the far-field distance of an emission pattern can be tens or hundreds of meters. As an example, consider a base station antenna of diameter 60 cm and the corresponding emissions at 60 GHz, i.e. a wave length of approximately 5mm. The resulting far-field distance is then</w:t>
      </w:r>
    </w:p>
    <w:p w14:paraId="233AE5B1" w14:textId="54217EA8" w:rsidR="002A51F2" w:rsidRPr="002A51F2" w:rsidRDefault="002A51F2" w:rsidP="002A51F2">
      <w:pPr>
        <w:rPr>
          <w:lang w:val="en-GB"/>
        </w:rPr>
      </w:pPr>
      <w:r w:rsidRPr="002A51F2">
        <w:rPr>
          <w:noProof/>
          <w:lang w:val="en-GB"/>
        </w:rPr>
        <w:drawing>
          <wp:inline distT="0" distB="0" distL="0" distR="0" wp14:anchorId="43DFF2E3" wp14:editId="71012626">
            <wp:extent cx="1743075" cy="1524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43075" cy="152400"/>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t>(1)</w:t>
      </w:r>
    </w:p>
    <w:p w14:paraId="258A8B39" w14:textId="4DC20158" w:rsidR="002A51F2" w:rsidRPr="002A51F2" w:rsidRDefault="002A51F2" w:rsidP="002A51F2">
      <w:pPr>
        <w:rPr>
          <w:lang w:val="en-GB"/>
        </w:rPr>
      </w:pPr>
      <w:r w:rsidRPr="002A51F2">
        <w:rPr>
          <w:lang w:val="en-GB"/>
        </w:rPr>
        <w:t xml:space="preserve">This can turn out to be a too large test distance in many test ranges. However, the TRP does not need to be defined via Equivalent Isotropic Radiated Power (EIRP), which is only defined in the far-field </w:t>
      </w:r>
      <w:proofErr w:type="gramStart"/>
      <w:r w:rsidRPr="002A51F2">
        <w:rPr>
          <w:lang w:val="en-GB"/>
        </w:rPr>
        <w:t>region, but</w:t>
      </w:r>
      <w:proofErr w:type="gramEnd"/>
      <w:r w:rsidRPr="002A51F2">
        <w:rPr>
          <w:lang w:val="en-GB"/>
        </w:rPr>
        <w:t xml:space="preserve"> can equally well be defined via radial power flux density. For time-harmonic field the radial power flux density is</w:t>
      </w:r>
    </w:p>
    <w:p w14:paraId="4F0BCDF7" w14:textId="6371862F" w:rsidR="002A51F2" w:rsidRPr="002A51F2" w:rsidRDefault="002A51F2" w:rsidP="002A51F2">
      <w:pPr>
        <w:rPr>
          <w:lang w:val="en-GB"/>
        </w:rPr>
      </w:pPr>
      <w:r w:rsidRPr="002A51F2">
        <w:rPr>
          <w:noProof/>
          <w:lang w:val="en-GB"/>
        </w:rPr>
        <w:drawing>
          <wp:inline distT="0" distB="0" distL="0" distR="0" wp14:anchorId="0175B461" wp14:editId="1FF05ECC">
            <wp:extent cx="1190625" cy="1619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90625" cy="161925"/>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r>
      <w:r w:rsidRPr="002A51F2">
        <w:rPr>
          <w:lang w:val="en-GB"/>
        </w:rPr>
        <w:tab/>
      </w:r>
      <w:r w:rsidRPr="002A51F2">
        <w:rPr>
          <w:lang w:val="en-GB"/>
        </w:rPr>
        <w:tab/>
        <w:t>(2)</w:t>
      </w:r>
    </w:p>
    <w:p w14:paraId="12E968C8" w14:textId="43266BF8" w:rsidR="002A51F2" w:rsidRPr="002A51F2" w:rsidRDefault="00835599" w:rsidP="002A51F2">
      <w:pPr>
        <w:rPr>
          <w:lang w:val="en-GB"/>
        </w:rPr>
      </w:pPr>
      <w:r>
        <w:rPr>
          <w:lang w:val="en-GB"/>
        </w:rPr>
        <w:t>, w</w:t>
      </w:r>
      <w:r w:rsidR="002A51F2" w:rsidRPr="002A51F2">
        <w:rPr>
          <w:lang w:val="en-GB"/>
        </w:rPr>
        <w:t>ith unit W</w:t>
      </w:r>
      <w:r>
        <w:rPr>
          <w:lang w:val="en-GB"/>
        </w:rPr>
        <w:t>/m</w:t>
      </w:r>
      <w:r>
        <w:rPr>
          <w:vertAlign w:val="superscript"/>
          <w:lang w:val="en-GB"/>
        </w:rPr>
        <w:t>2</w:t>
      </w:r>
      <w:r w:rsidR="002A51F2" w:rsidRPr="002A51F2">
        <w:rPr>
          <w:lang w:val="en-GB"/>
        </w:rPr>
        <w:t>. This quantity gives the power per unit area that flows out through a spherical surface of a given radius, which in this case is the test distance. The total radiated power is the sum of all these contributions, i.e.</w:t>
      </w:r>
    </w:p>
    <w:p w14:paraId="1F657149" w14:textId="5734AF0A" w:rsidR="002A51F2" w:rsidRPr="002A51F2" w:rsidRDefault="002A51F2" w:rsidP="002A51F2">
      <w:pPr>
        <w:rPr>
          <w:lang w:val="en-GB"/>
        </w:rPr>
      </w:pPr>
      <w:r w:rsidRPr="002A51F2">
        <w:rPr>
          <w:noProof/>
          <w:lang w:val="en-GB"/>
        </w:rPr>
        <w:drawing>
          <wp:inline distT="0" distB="0" distL="0" distR="0" wp14:anchorId="1B958C69" wp14:editId="0E00FE9E">
            <wp:extent cx="2238375" cy="3714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38375" cy="371475"/>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t>(3)</w:t>
      </w:r>
    </w:p>
    <w:p w14:paraId="11B7D2F1" w14:textId="77777777" w:rsidR="002A51F2" w:rsidRPr="002A51F2" w:rsidRDefault="002A51F2" w:rsidP="002A51F2">
      <w:pPr>
        <w:rPr>
          <w:lang w:val="en-GB"/>
        </w:rPr>
      </w:pPr>
      <w:r w:rsidRPr="002A51F2">
        <w:rPr>
          <w:lang w:val="en-GB"/>
        </w:rPr>
        <w:t>Note that the relation between (radial) power density flux and EIRP is</w:t>
      </w:r>
    </w:p>
    <w:p w14:paraId="54241DB9" w14:textId="37099D69" w:rsidR="002A51F2" w:rsidRPr="002A51F2" w:rsidRDefault="002A51F2" w:rsidP="002A51F2">
      <w:pPr>
        <w:rPr>
          <w:lang w:val="en-GB"/>
        </w:rPr>
      </w:pPr>
      <w:r w:rsidRPr="002A51F2">
        <w:rPr>
          <w:noProof/>
          <w:lang w:val="en-GB"/>
        </w:rPr>
        <w:drawing>
          <wp:inline distT="0" distB="0" distL="0" distR="0" wp14:anchorId="53386133" wp14:editId="54861612">
            <wp:extent cx="866775" cy="1428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66775" cy="142875"/>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t>(4)</w:t>
      </w:r>
    </w:p>
    <w:p w14:paraId="08952890" w14:textId="77777777" w:rsidR="002A51F2" w:rsidRPr="002A51F2" w:rsidRDefault="002A51F2" w:rsidP="002A51F2">
      <w:pPr>
        <w:rPr>
          <w:lang w:val="en-GB"/>
        </w:rPr>
      </w:pPr>
      <w:r w:rsidRPr="002A51F2">
        <w:rPr>
          <w:lang w:val="en-GB"/>
        </w:rPr>
        <w:t>which gives the relation between the TRP expressed as a full sphere integration of EIRP</w:t>
      </w:r>
    </w:p>
    <w:p w14:paraId="5D41D46F" w14:textId="270486CA" w:rsidR="002A51F2" w:rsidRPr="002A51F2" w:rsidRDefault="002A51F2" w:rsidP="002A51F2">
      <w:pPr>
        <w:rPr>
          <w:lang w:val="en-GB"/>
        </w:rPr>
      </w:pPr>
      <w:r w:rsidRPr="002A51F2">
        <w:rPr>
          <w:noProof/>
          <w:lang w:val="en-GB"/>
        </w:rPr>
        <w:lastRenderedPageBreak/>
        <w:drawing>
          <wp:inline distT="0" distB="0" distL="0" distR="0" wp14:anchorId="34F5CAB1" wp14:editId="02703DEE">
            <wp:extent cx="2066925" cy="3714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66925" cy="371475"/>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t>(5)</w:t>
      </w:r>
    </w:p>
    <w:p w14:paraId="417F8209" w14:textId="77777777" w:rsidR="002A51F2" w:rsidRPr="002A51F2" w:rsidRDefault="002A51F2" w:rsidP="002A51F2">
      <w:pPr>
        <w:rPr>
          <w:lang w:val="en-GB"/>
        </w:rPr>
      </w:pPr>
      <w:r w:rsidRPr="002A51F2">
        <w:rPr>
          <w:lang w:val="en-GB"/>
        </w:rPr>
        <w:t xml:space="preserve">By splitting the fields in tangential and radial parts as </w:t>
      </w:r>
    </w:p>
    <w:p w14:paraId="53AC79B2" w14:textId="3594D39F" w:rsidR="002A51F2" w:rsidRPr="002A51F2" w:rsidRDefault="002A51F2" w:rsidP="002A51F2">
      <w:pPr>
        <w:rPr>
          <w:lang w:val="en-GB"/>
        </w:rPr>
      </w:pPr>
      <w:r w:rsidRPr="002A51F2">
        <w:rPr>
          <w:noProof/>
          <w:lang w:val="en-GB"/>
        </w:rPr>
        <w:drawing>
          <wp:inline distT="0" distB="0" distL="0" distR="0" wp14:anchorId="546DAC56" wp14:editId="7A875A01">
            <wp:extent cx="914400" cy="3905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t>(6)</w:t>
      </w:r>
    </w:p>
    <w:p w14:paraId="1AC5871F" w14:textId="77777777" w:rsidR="002A51F2" w:rsidRPr="002A51F2" w:rsidRDefault="002A51F2" w:rsidP="002A51F2">
      <w:pPr>
        <w:rPr>
          <w:lang w:val="en-GB"/>
        </w:rPr>
      </w:pPr>
      <w:r w:rsidRPr="002A51F2">
        <w:rPr>
          <w:lang w:val="en-GB"/>
        </w:rPr>
        <w:t>it is found that</w:t>
      </w:r>
    </w:p>
    <w:p w14:paraId="26DD617E" w14:textId="5E81ECD5" w:rsidR="002A51F2" w:rsidRPr="002A51F2" w:rsidRDefault="002A51F2" w:rsidP="002A51F2">
      <w:pPr>
        <w:rPr>
          <w:lang w:val="en-GB"/>
        </w:rPr>
      </w:pPr>
      <w:r w:rsidRPr="002A51F2">
        <w:rPr>
          <w:noProof/>
          <w:lang w:val="en-GB"/>
        </w:rPr>
        <w:drawing>
          <wp:inline distT="0" distB="0" distL="0" distR="0" wp14:anchorId="0E793663" wp14:editId="46419F1D">
            <wp:extent cx="121920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19200" cy="161925"/>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t>(7)</w:t>
      </w:r>
    </w:p>
    <w:p w14:paraId="15F1DF37" w14:textId="77777777" w:rsidR="002A51F2" w:rsidRPr="002A51F2" w:rsidRDefault="002A51F2" w:rsidP="002A51F2">
      <w:pPr>
        <w:rPr>
          <w:lang w:val="en-GB"/>
        </w:rPr>
      </w:pPr>
      <w:r w:rsidRPr="002A51F2">
        <w:rPr>
          <w:lang w:val="en-GB"/>
        </w:rPr>
        <w:t>In the far-field limit the radial power density flux simplifies to</w:t>
      </w:r>
    </w:p>
    <w:p w14:paraId="7B0CFC8C" w14:textId="6D0874B7" w:rsidR="002A51F2" w:rsidRPr="002A51F2" w:rsidRDefault="002A51F2" w:rsidP="002A51F2">
      <w:pPr>
        <w:rPr>
          <w:lang w:val="en-GB"/>
        </w:rPr>
      </w:pPr>
      <w:r w:rsidRPr="002A51F2">
        <w:rPr>
          <w:noProof/>
          <w:lang w:val="en-GB"/>
        </w:rPr>
        <w:drawing>
          <wp:inline distT="0" distB="0" distL="0" distR="0" wp14:anchorId="5B2830F5" wp14:editId="61C566DF">
            <wp:extent cx="762000" cy="1619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62000" cy="161925"/>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t>(8)</w:t>
      </w:r>
    </w:p>
    <w:p w14:paraId="3C417036" w14:textId="567A9F87" w:rsidR="002A51F2" w:rsidRPr="002A51F2" w:rsidRDefault="002A51F2" w:rsidP="002A51F2">
      <w:pPr>
        <w:rPr>
          <w:lang w:val="en-GB"/>
        </w:rPr>
      </w:pPr>
      <w:r w:rsidRPr="002A51F2">
        <w:rPr>
          <w:lang w:val="en-GB"/>
        </w:rPr>
        <w:t xml:space="preserve">Here </w:t>
      </w:r>
      <w:r w:rsidRPr="002A51F2">
        <w:rPr>
          <w:noProof/>
          <w:lang w:val="en-GB"/>
        </w:rPr>
        <w:drawing>
          <wp:inline distT="0" distB="0" distL="0" distR="0" wp14:anchorId="2FEAFB4D" wp14:editId="51B620B5">
            <wp:extent cx="581025" cy="1143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1025" cy="114300"/>
                    </a:xfrm>
                    <a:prstGeom prst="rect">
                      <a:avLst/>
                    </a:prstGeom>
                    <a:noFill/>
                    <a:ln>
                      <a:noFill/>
                    </a:ln>
                  </pic:spPr>
                </pic:pic>
              </a:graphicData>
            </a:graphic>
          </wp:inline>
        </w:drawing>
      </w:r>
      <w:r w:rsidRPr="002A51F2">
        <w:rPr>
          <w:lang w:val="en-GB"/>
        </w:rPr>
        <w:t xml:space="preserve"> is the free space impedance. From numerical simulations, based on full wave solutions it has been found that this is a good approximation also in the near-field region provided that the test distance is larger than the radius of the Equipment Under Test (EUT) by a few wavelengths (e.g., around 10), see Fig 2 and [4]. Hence, if this condition is met</w:t>
      </w:r>
      <w:r w:rsidR="00835599">
        <w:rPr>
          <w:lang w:val="en-GB"/>
        </w:rPr>
        <w:t>,</w:t>
      </w:r>
      <w:r w:rsidRPr="002A51F2">
        <w:rPr>
          <w:lang w:val="en-GB"/>
        </w:rPr>
        <w:t xml:space="preserve"> the tangential E-field will give the necessary data to calculate the TRP, provided it is accurately measured.</w:t>
      </w:r>
    </w:p>
    <w:p w14:paraId="357A8A14" w14:textId="62068CFC" w:rsidR="002A51F2" w:rsidRPr="002A51F2" w:rsidRDefault="002A51F2" w:rsidP="002A51F2">
      <w:pPr>
        <w:rPr>
          <w:lang w:val="en-GB"/>
        </w:rPr>
      </w:pPr>
      <w:r w:rsidRPr="002A51F2">
        <w:rPr>
          <w:noProof/>
          <w:lang w:val="en-GB"/>
        </w:rPr>
        <w:drawing>
          <wp:inline distT="0" distB="0" distL="0" distR="0" wp14:anchorId="64B779B5" wp14:editId="2B8680C3">
            <wp:extent cx="4381500" cy="23907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0" cy="2390775"/>
                    </a:xfrm>
                    <a:prstGeom prst="rect">
                      <a:avLst/>
                    </a:prstGeom>
                    <a:noFill/>
                    <a:ln>
                      <a:noFill/>
                    </a:ln>
                  </pic:spPr>
                </pic:pic>
              </a:graphicData>
            </a:graphic>
          </wp:inline>
        </w:drawing>
      </w:r>
    </w:p>
    <w:p w14:paraId="390FFF87" w14:textId="77777777" w:rsidR="002A51F2" w:rsidRPr="002A51F2" w:rsidRDefault="002A51F2" w:rsidP="002A51F2">
      <w:pPr>
        <w:rPr>
          <w:lang w:val="en-GB"/>
        </w:rPr>
      </w:pPr>
      <w:r w:rsidRPr="002A51F2">
        <w:rPr>
          <w:b/>
          <w:lang w:val="en-GB"/>
        </w:rPr>
        <w:t xml:space="preserve">Figure 2: </w:t>
      </w:r>
      <w:r w:rsidRPr="002A51F2">
        <w:rPr>
          <w:lang w:val="en-GB"/>
        </w:rPr>
        <w:t>Relative TRP error in dBs when (8) is used instead of (7). The red triangles correspond to the test distances used in Figs 3 (a) and (b), respectively. The test distance is r</w:t>
      </w:r>
      <w:r w:rsidRPr="002A51F2">
        <w:rPr>
          <w:vertAlign w:val="subscript"/>
          <w:lang w:val="en-GB"/>
        </w:rPr>
        <w:t>0</w:t>
      </w:r>
      <w:r w:rsidRPr="002A51F2">
        <w:rPr>
          <w:lang w:val="en-GB"/>
        </w:rPr>
        <w:t xml:space="preserve"> and the radius of the EUT is </w:t>
      </w:r>
      <w:proofErr w:type="spellStart"/>
      <w:r w:rsidRPr="002A51F2">
        <w:rPr>
          <w:lang w:val="en-GB"/>
        </w:rPr>
        <w:t>R</w:t>
      </w:r>
      <w:r w:rsidRPr="002A51F2">
        <w:rPr>
          <w:vertAlign w:val="subscript"/>
          <w:lang w:val="en-GB"/>
        </w:rPr>
        <w:t>sph</w:t>
      </w:r>
      <w:commentRangeStart w:id="2"/>
      <w:proofErr w:type="spellEnd"/>
      <w:r w:rsidRPr="002A51F2">
        <w:rPr>
          <w:vertAlign w:val="subscript"/>
          <w:lang w:val="en-GB"/>
        </w:rPr>
        <w:t xml:space="preserve">. </w:t>
      </w:r>
      <w:r w:rsidRPr="002A51F2">
        <w:rPr>
          <w:lang w:val="en-GB"/>
        </w:rPr>
        <w:t>Hence the horizontal axis represents the closest distance between the measurement sphere and the EUT measured in wave lengths.</w:t>
      </w:r>
      <w:commentRangeEnd w:id="2"/>
      <w:r w:rsidR="00835599">
        <w:rPr>
          <w:rStyle w:val="CommentReference"/>
          <w:rFonts w:eastAsia="Calibri"/>
        </w:rPr>
        <w:commentReference w:id="2"/>
      </w:r>
    </w:p>
    <w:p w14:paraId="35CAA4DA" w14:textId="78DE419A" w:rsidR="002A51F2" w:rsidRPr="002A51F2" w:rsidRDefault="002A51F2" w:rsidP="002A51F2">
      <w:pPr>
        <w:rPr>
          <w:lang w:val="en-GB"/>
        </w:rPr>
      </w:pPr>
      <w:r w:rsidRPr="002A51F2">
        <w:rPr>
          <w:noProof/>
          <w:lang w:val="en-GB"/>
        </w:rPr>
        <w:lastRenderedPageBreak/>
        <w:drawing>
          <wp:inline distT="0" distB="0" distL="0" distR="0" wp14:anchorId="6DC5128E" wp14:editId="3E87C004">
            <wp:extent cx="2847975" cy="36099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7975" cy="3609975"/>
                    </a:xfrm>
                    <a:prstGeom prst="rect">
                      <a:avLst/>
                    </a:prstGeom>
                    <a:noFill/>
                    <a:ln>
                      <a:noFill/>
                    </a:ln>
                  </pic:spPr>
                </pic:pic>
              </a:graphicData>
            </a:graphic>
          </wp:inline>
        </w:drawing>
      </w:r>
    </w:p>
    <w:p w14:paraId="3A230B9F" w14:textId="65E20F06" w:rsidR="002A51F2" w:rsidRPr="002A51F2" w:rsidRDefault="002A51F2" w:rsidP="002A51F2">
      <w:pPr>
        <w:rPr>
          <w:lang w:val="en-GB"/>
        </w:rPr>
      </w:pPr>
      <w:r w:rsidRPr="002A51F2">
        <w:rPr>
          <w:b/>
          <w:lang w:val="en-GB"/>
        </w:rPr>
        <w:t>Figure 3:</w:t>
      </w:r>
      <w:r w:rsidRPr="002A51F2">
        <w:rPr>
          <w:lang w:val="en-GB"/>
        </w:rPr>
        <w:t xml:space="preserve"> Angular power density patterns in the near-field of a base station antenna [</w:t>
      </w:r>
      <w:r w:rsidR="00835599">
        <w:rPr>
          <w:lang w:val="en-GB"/>
        </w:rPr>
        <w:t>6</w:t>
      </w:r>
      <w:r w:rsidRPr="002A51F2">
        <w:rPr>
          <w:lang w:val="en-GB"/>
        </w:rPr>
        <w:t>]. The patterns are sampled at 0.75 m (a), 2.5 m (b) and 30 m (c) and the far-field distance is 30m. The angular patterns vary with distance but the full-sphere integration for TRP gives identical results. Note, the lower power density levels in the lower figure are balanced by the larger total area of the measurement sphere.</w:t>
      </w:r>
    </w:p>
    <w:p w14:paraId="6D81B717" w14:textId="74AC3E2A" w:rsidR="002A51F2" w:rsidRPr="002A51F2" w:rsidRDefault="002A51F2" w:rsidP="002A51F2">
      <w:pPr>
        <w:rPr>
          <w:lang w:val="en-GB"/>
        </w:rPr>
      </w:pPr>
      <w:r w:rsidRPr="002A51F2">
        <w:rPr>
          <w:lang w:val="en-GB"/>
        </w:rPr>
        <w:t xml:space="preserve">To ensure the latter we </w:t>
      </w:r>
      <w:r w:rsidR="00835599" w:rsidRPr="00835599">
        <w:rPr>
          <w:highlight w:val="yellow"/>
          <w:lang w:val="en-GB"/>
        </w:rPr>
        <w:t>conclude</w:t>
      </w:r>
      <w:r w:rsidRPr="002A51F2">
        <w:rPr>
          <w:lang w:val="en-GB"/>
        </w:rPr>
        <w:t xml:space="preserve"> that: </w:t>
      </w:r>
    </w:p>
    <w:p w14:paraId="2459CF83" w14:textId="77777777" w:rsidR="002A51F2" w:rsidRPr="002A51F2" w:rsidRDefault="002A51F2" w:rsidP="002A51F2">
      <w:pPr>
        <w:numPr>
          <w:ilvl w:val="0"/>
          <w:numId w:val="8"/>
        </w:numPr>
        <w:rPr>
          <w:lang w:val="en-GB"/>
        </w:rPr>
      </w:pPr>
      <w:r w:rsidRPr="002A51F2">
        <w:rPr>
          <w:lang w:val="en-GB"/>
        </w:rPr>
        <w:t>The test distance shall be at least the far-field distance of the measurement antenna.</w:t>
      </w:r>
    </w:p>
    <w:p w14:paraId="247AACA2" w14:textId="77777777" w:rsidR="002A51F2" w:rsidRPr="002A51F2" w:rsidRDefault="002A51F2" w:rsidP="002A51F2">
      <w:pPr>
        <w:numPr>
          <w:ilvl w:val="0"/>
          <w:numId w:val="8"/>
        </w:numPr>
        <w:rPr>
          <w:lang w:val="en-GB"/>
        </w:rPr>
      </w:pPr>
      <w:r w:rsidRPr="002A51F2">
        <w:rPr>
          <w:lang w:val="en-GB"/>
        </w:rPr>
        <w:t>The measurement antenna shall be small enough to sample a practically constant field</w:t>
      </w:r>
    </w:p>
    <w:p w14:paraId="113D86BD" w14:textId="17B40118" w:rsidR="002A51F2" w:rsidRPr="002A51F2" w:rsidRDefault="002A51F2" w:rsidP="002A51F2">
      <w:pPr>
        <w:numPr>
          <w:ilvl w:val="0"/>
          <w:numId w:val="8"/>
        </w:numPr>
        <w:rPr>
          <w:lang w:val="en-GB"/>
        </w:rPr>
      </w:pPr>
      <w:r w:rsidRPr="002A51F2">
        <w:rPr>
          <w:lang w:val="en-GB"/>
        </w:rPr>
        <w:t xml:space="preserve">The measurement sphere must </w:t>
      </w:r>
      <w:r w:rsidR="00694352">
        <w:rPr>
          <w:lang w:val="en-GB"/>
        </w:rPr>
        <w:t>maintain a</w:t>
      </w:r>
      <w:r w:rsidRPr="002A51F2">
        <w:rPr>
          <w:lang w:val="en-GB"/>
        </w:rPr>
        <w:t xml:space="preserve"> </w:t>
      </w:r>
      <w:r w:rsidR="00694352">
        <w:rPr>
          <w:lang w:val="en-GB"/>
        </w:rPr>
        <w:t xml:space="preserve">minimum </w:t>
      </w:r>
      <w:r w:rsidRPr="002A51F2">
        <w:rPr>
          <w:lang w:val="en-GB"/>
        </w:rPr>
        <w:t>distance fr</w:t>
      </w:r>
      <w:r w:rsidR="00835599">
        <w:rPr>
          <w:lang w:val="en-GB"/>
        </w:rPr>
        <w:t>o</w:t>
      </w:r>
      <w:r w:rsidRPr="002A51F2">
        <w:rPr>
          <w:lang w:val="en-GB"/>
        </w:rPr>
        <w:t>m the EUT</w:t>
      </w:r>
      <w:r w:rsidR="00694352">
        <w:rPr>
          <w:lang w:val="en-GB"/>
        </w:rPr>
        <w:t>. A few wavelengths are enough.</w:t>
      </w:r>
    </w:p>
    <w:p w14:paraId="0066C9DF" w14:textId="77777777" w:rsidR="002A51F2" w:rsidRPr="002A51F2" w:rsidRDefault="002A51F2" w:rsidP="002A51F2">
      <w:pPr>
        <w:rPr>
          <w:lang w:val="en-GB"/>
        </w:rPr>
      </w:pPr>
      <w:r w:rsidRPr="002A51F2">
        <w:rPr>
          <w:lang w:val="en-GB"/>
        </w:rPr>
        <w:t>The first criterion has the effect of minimizing coupling between any radial field components and the voltage output on the measurement antenna and can be quantified as</w:t>
      </w:r>
    </w:p>
    <w:p w14:paraId="025B0EE3" w14:textId="1064C122" w:rsidR="002A51F2" w:rsidRPr="002A51F2" w:rsidRDefault="002A51F2" w:rsidP="002A51F2">
      <w:pPr>
        <w:rPr>
          <w:lang w:val="en-GB"/>
        </w:rPr>
      </w:pPr>
      <w:r w:rsidRPr="002A51F2">
        <w:rPr>
          <w:noProof/>
          <w:lang w:val="en-GB"/>
        </w:rPr>
        <w:drawing>
          <wp:inline distT="0" distB="0" distL="0" distR="0" wp14:anchorId="3C65D0D1" wp14:editId="5C85B45A">
            <wp:extent cx="762000" cy="1524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t>(9)</w:t>
      </w:r>
    </w:p>
    <w:p w14:paraId="7A56C7A5" w14:textId="655179D8" w:rsidR="002A51F2" w:rsidRPr="002A51F2" w:rsidRDefault="002A51F2" w:rsidP="002A51F2">
      <w:pPr>
        <w:rPr>
          <w:lang w:val="en-GB"/>
        </w:rPr>
      </w:pPr>
      <w:r w:rsidRPr="002A51F2">
        <w:rPr>
          <w:lang w:val="en-GB"/>
        </w:rPr>
        <w:t>The second criterion implies that the main beam of the measurement antenna illuminates the EUT with a sufficient margin [</w:t>
      </w:r>
      <w:r w:rsidR="00835599">
        <w:rPr>
          <w:lang w:val="en-GB"/>
        </w:rPr>
        <w:t>6</w:t>
      </w:r>
      <w:r w:rsidRPr="002A51F2">
        <w:rPr>
          <w:lang w:val="en-GB"/>
        </w:rPr>
        <w:t>] and can be quantified as</w:t>
      </w:r>
    </w:p>
    <w:p w14:paraId="6E360175" w14:textId="471D0F19" w:rsidR="002A51F2" w:rsidRPr="002A51F2" w:rsidRDefault="002A51F2" w:rsidP="002A51F2">
      <w:pPr>
        <w:rPr>
          <w:lang w:val="en-GB"/>
        </w:rPr>
      </w:pPr>
      <w:r w:rsidRPr="002A51F2">
        <w:rPr>
          <w:noProof/>
          <w:lang w:val="en-GB"/>
        </w:rPr>
        <w:drawing>
          <wp:inline distT="0" distB="0" distL="0" distR="0" wp14:anchorId="2908A5E3" wp14:editId="111E011A">
            <wp:extent cx="876300" cy="266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76300" cy="266700"/>
                    </a:xfrm>
                    <a:prstGeom prst="rect">
                      <a:avLst/>
                    </a:prstGeom>
                    <a:noFill/>
                    <a:ln>
                      <a:noFill/>
                    </a:ln>
                  </pic:spPr>
                </pic:pic>
              </a:graphicData>
            </a:graphic>
          </wp:inline>
        </w:drawing>
      </w:r>
      <w:r w:rsidRPr="002A51F2">
        <w:rPr>
          <w:lang w:val="en-GB"/>
        </w:rPr>
        <w:t xml:space="preserve"> </w:t>
      </w:r>
      <w:r w:rsidRPr="002A51F2">
        <w:rPr>
          <w:lang w:val="en-GB"/>
        </w:rPr>
        <w:tab/>
      </w:r>
      <w:r w:rsidRPr="002A51F2">
        <w:rPr>
          <w:lang w:val="en-GB"/>
        </w:rPr>
        <w:tab/>
      </w:r>
      <w:r w:rsidRPr="002A51F2">
        <w:rPr>
          <w:lang w:val="en-GB"/>
        </w:rPr>
        <w:tab/>
        <w:t>(10)</w:t>
      </w:r>
    </w:p>
    <w:p w14:paraId="28E2E183" w14:textId="77777777" w:rsidR="002A51F2" w:rsidRPr="002A51F2" w:rsidRDefault="002A51F2" w:rsidP="002A51F2">
      <w:pPr>
        <w:rPr>
          <w:lang w:val="en-GB"/>
        </w:rPr>
      </w:pPr>
      <w:r w:rsidRPr="002A51F2">
        <w:rPr>
          <w:lang w:val="en-GB"/>
        </w:rPr>
        <w:t>This property is to be considered at any antenna measurement at finite distance.</w:t>
      </w:r>
    </w:p>
    <w:p w14:paraId="22F229BF" w14:textId="308F62E8" w:rsidR="002A51F2" w:rsidRPr="002A51F2" w:rsidRDefault="002A51F2" w:rsidP="002A51F2">
      <w:pPr>
        <w:rPr>
          <w:lang w:val="en-GB"/>
        </w:rPr>
      </w:pPr>
      <w:r w:rsidRPr="002A51F2">
        <w:rPr>
          <w:lang w:val="en-GB"/>
        </w:rPr>
        <w:lastRenderedPageBreak/>
        <w:t xml:space="preserve">Furthermore, </w:t>
      </w:r>
      <w:proofErr w:type="spellStart"/>
      <w:r w:rsidRPr="002A51F2">
        <w:rPr>
          <w:lang w:val="en-GB"/>
        </w:rPr>
        <w:t>Eq</w:t>
      </w:r>
      <w:proofErr w:type="spellEnd"/>
      <w:r w:rsidRPr="002A51F2">
        <w:rPr>
          <w:lang w:val="en-GB"/>
        </w:rPr>
        <w:t xml:space="preserve"> (10) sets a minimum test distance for a given probe size w at which the maximum SNR of the measurement setup is reached, see [</w:t>
      </w:r>
      <w:r w:rsidR="00835599">
        <w:rPr>
          <w:lang w:val="en-GB"/>
        </w:rPr>
        <w:t>6</w:t>
      </w:r>
      <w:r w:rsidRPr="002A51F2">
        <w:rPr>
          <w:lang w:val="en-GB"/>
        </w:rPr>
        <w:t>].</w:t>
      </w:r>
    </w:p>
    <w:p w14:paraId="3F383EFB" w14:textId="07D23C19" w:rsidR="002A51F2" w:rsidRPr="002A51F2" w:rsidRDefault="002A51F2" w:rsidP="002A51F2">
      <w:pPr>
        <w:rPr>
          <w:lang w:val="en-GB"/>
        </w:rPr>
      </w:pPr>
      <w:r w:rsidRPr="002A51F2">
        <w:rPr>
          <w:lang w:val="en-GB"/>
        </w:rPr>
        <w:t xml:space="preserve">The first and second criteria for test distance </w:t>
      </w:r>
      <w:proofErr w:type="gramStart"/>
      <w:r w:rsidRPr="002A51F2">
        <w:rPr>
          <w:lang w:val="en-GB"/>
        </w:rPr>
        <w:t>have to</w:t>
      </w:r>
      <w:proofErr w:type="gramEnd"/>
      <w:r w:rsidRPr="002A51F2">
        <w:rPr>
          <w:lang w:val="en-GB"/>
        </w:rPr>
        <w:t xml:space="preserve"> be considered also for finite test distance me</w:t>
      </w:r>
      <w:r w:rsidR="00835599">
        <w:rPr>
          <w:lang w:val="en-GB"/>
        </w:rPr>
        <w:t>a</w:t>
      </w:r>
      <w:r w:rsidRPr="002A51F2">
        <w:rPr>
          <w:lang w:val="en-GB"/>
        </w:rPr>
        <w:t>surement of any far-field parameter such as EIRP.</w:t>
      </w:r>
    </w:p>
    <w:p w14:paraId="6BD4FEAB" w14:textId="66EC5B9C" w:rsidR="002A51F2" w:rsidRPr="002A51F2" w:rsidRDefault="002A51F2" w:rsidP="002A51F2">
      <w:pPr>
        <w:rPr>
          <w:lang w:val="en-GB"/>
        </w:rPr>
      </w:pPr>
      <w:r w:rsidRPr="00835599">
        <w:rPr>
          <w:highlight w:val="yellow"/>
          <w:lang w:val="en-GB"/>
        </w:rPr>
        <w:t xml:space="preserve">The third criterion </w:t>
      </w:r>
      <w:r w:rsidR="00835599" w:rsidRPr="00835599">
        <w:rPr>
          <w:highlight w:val="yellow"/>
          <w:lang w:val="en-GB"/>
        </w:rPr>
        <w:t xml:space="preserve">is easy to meet for the upper part of the FR1, even if we consider 10 wavelengths. At FR2 </w:t>
      </w:r>
      <w:r w:rsidRPr="00835599">
        <w:rPr>
          <w:highlight w:val="yellow"/>
          <w:lang w:val="en-GB"/>
        </w:rPr>
        <w:t>should have very small consequences.</w:t>
      </w:r>
    </w:p>
    <w:p w14:paraId="141F2AEC" w14:textId="3D2B367C" w:rsidR="00835599" w:rsidRDefault="00835599" w:rsidP="00835599">
      <w:pPr>
        <w:pStyle w:val="Heading3"/>
      </w:pPr>
      <w:proofErr w:type="spellStart"/>
      <w:r>
        <w:t>M.x.y</w:t>
      </w:r>
      <w:proofErr w:type="spellEnd"/>
      <w:r>
        <w:t xml:space="preserve"> </w:t>
      </w:r>
      <w:r w:rsidR="006F0B65">
        <w:t>Systematic correction for the TRP calculation</w:t>
      </w:r>
    </w:p>
    <w:p w14:paraId="3B8FBBAA" w14:textId="2761F478" w:rsidR="00835599" w:rsidRDefault="006F0B65" w:rsidP="006F0B65">
      <w:proofErr w:type="gramStart"/>
      <w:r>
        <w:t>In order to</w:t>
      </w:r>
      <w:proofErr w:type="gramEnd"/>
      <w:r>
        <w:t xml:space="preserve"> get an accurate value of the TRP, a large set of angular points may be required, especially for spurious emissions at higher frequencies. This leads to measurement times of several weeks, in the worst cases. In addition, measurement chambers with only one-dimensional turn tables are commonly in use for EMC testing, which makes it hard to perform full-sphere scans. Therefore, there is a need to have a method that allows for sparse spherical scanning or a set of one-dimensional scans. One important observation is that spurious emissions coming from different </w:t>
      </w:r>
      <w:r w:rsidR="00E0579B">
        <w:t xml:space="preserve">sources (e.g. </w:t>
      </w:r>
      <w:r>
        <w:t>array elements</w:t>
      </w:r>
      <w:r w:rsidR="00E0579B">
        <w:t xml:space="preserve">, or other </w:t>
      </w:r>
      <w:r w:rsidR="00E0579B">
        <w:t xml:space="preserve">radiation source </w:t>
      </w:r>
      <w:r w:rsidR="00E0579B">
        <w:t>as</w:t>
      </w:r>
      <w:r w:rsidR="00E0579B">
        <w:t xml:space="preserve"> leakage thr</w:t>
      </w:r>
      <w:r w:rsidR="00E0579B">
        <w:t>o</w:t>
      </w:r>
      <w:r w:rsidR="00E0579B">
        <w:t>ugh slots or holes in the chassis</w:t>
      </w:r>
      <w:r w:rsidR="00E0579B">
        <w:t>)</w:t>
      </w:r>
      <w:r>
        <w:t xml:space="preserve"> are likely to be uncorrelated in which case the requirement on the number of measurement points can be relaxed compared to the reference angular steps.</w:t>
      </w:r>
    </w:p>
    <w:p w14:paraId="412A710D" w14:textId="62F71816" w:rsidR="006F0B65" w:rsidRDefault="006F0B65" w:rsidP="006F0B65">
      <w:r>
        <w:t xml:space="preserve">Based on the grid type and the sparsity factor SF a systematic correction, denoted ΔTRP, can be calculated. </w:t>
      </w:r>
    </w:p>
    <w:p w14:paraId="0FAC077A" w14:textId="77777777" w:rsidR="00072E5D" w:rsidRPr="00072E5D" w:rsidRDefault="00072E5D" w:rsidP="00072E5D">
      <w:pPr>
        <w:rPr>
          <w:lang w:val="en-GB"/>
        </w:rPr>
      </w:pPr>
      <w:r w:rsidRPr="00072E5D">
        <w:rPr>
          <w:lang w:val="en-GB"/>
        </w:rPr>
        <w:t>For SF=1 it can be shown that the TRP estimated from a full sphere grid using</w:t>
      </w:r>
    </w:p>
    <w:p w14:paraId="55A78632" w14:textId="3C6B37BD" w:rsidR="00072E5D" w:rsidRPr="00072E5D" w:rsidRDefault="00072E5D" w:rsidP="00072E5D">
      <w:pPr>
        <w:rPr>
          <w:lang w:val="en-GB"/>
        </w:rPr>
      </w:pPr>
      <w:r w:rsidRPr="00072E5D">
        <w:rPr>
          <w:noProof/>
          <w:lang w:val="en-GB"/>
        </w:rPr>
        <w:drawing>
          <wp:inline distT="0" distB="0" distL="0" distR="0" wp14:anchorId="12519C5D" wp14:editId="6E6F3C5A">
            <wp:extent cx="2181225" cy="29527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81225" cy="295275"/>
                    </a:xfrm>
                    <a:prstGeom prst="rect">
                      <a:avLst/>
                    </a:prstGeom>
                    <a:noFill/>
                    <a:ln>
                      <a:noFill/>
                    </a:ln>
                  </pic:spPr>
                </pic:pic>
              </a:graphicData>
            </a:graphic>
          </wp:inline>
        </w:drawing>
      </w:r>
      <w:r w:rsidRPr="00072E5D">
        <w:rPr>
          <w:lang w:val="en-GB"/>
        </w:rPr>
        <w:tab/>
      </w:r>
      <w:r w:rsidRPr="00072E5D">
        <w:rPr>
          <w:lang w:val="en-GB"/>
        </w:rPr>
        <w:tab/>
        <w:t>(3)</w:t>
      </w:r>
    </w:p>
    <w:p w14:paraId="16D412D2" w14:textId="77777777" w:rsidR="00072E5D" w:rsidRPr="00072E5D" w:rsidRDefault="00072E5D" w:rsidP="00072E5D">
      <w:pPr>
        <w:rPr>
          <w:lang w:val="en-GB"/>
        </w:rPr>
      </w:pPr>
      <w:r w:rsidRPr="00072E5D">
        <w:rPr>
          <w:lang w:val="en-GB"/>
        </w:rPr>
        <w:t>results in very small errors, see Fig. 2.</w:t>
      </w:r>
    </w:p>
    <w:p w14:paraId="60E2AFEB" w14:textId="433B5C2E" w:rsidR="00072E5D" w:rsidRPr="00072E5D" w:rsidRDefault="00072E5D" w:rsidP="00072E5D">
      <w:pPr>
        <w:rPr>
          <w:lang w:val="en-GB"/>
        </w:rPr>
      </w:pPr>
      <w:r w:rsidRPr="00072E5D">
        <w:rPr>
          <w:noProof/>
          <w:lang w:val="en-GB"/>
        </w:rPr>
        <w:drawing>
          <wp:inline distT="0" distB="0" distL="0" distR="0" wp14:anchorId="5FE85B3F" wp14:editId="08CD3372">
            <wp:extent cx="3914775" cy="261937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14775" cy="2619375"/>
                    </a:xfrm>
                    <a:prstGeom prst="rect">
                      <a:avLst/>
                    </a:prstGeom>
                    <a:noFill/>
                    <a:ln>
                      <a:noFill/>
                    </a:ln>
                  </pic:spPr>
                </pic:pic>
              </a:graphicData>
            </a:graphic>
          </wp:inline>
        </w:drawing>
      </w:r>
    </w:p>
    <w:p w14:paraId="7383BBF6" w14:textId="78227A62" w:rsidR="00072E5D" w:rsidRPr="00072E5D" w:rsidRDefault="00072E5D" w:rsidP="00072E5D">
      <w:pPr>
        <w:rPr>
          <w:lang w:val="en-GB"/>
        </w:rPr>
      </w:pPr>
      <w:r w:rsidRPr="00072E5D">
        <w:rPr>
          <w:b/>
          <w:lang w:val="en-GB"/>
        </w:rPr>
        <w:lastRenderedPageBreak/>
        <w:t>Figure 2:</w:t>
      </w:r>
      <w:r w:rsidRPr="00072E5D">
        <w:rPr>
          <w:lang w:val="en-GB"/>
        </w:rPr>
        <w:t xml:space="preserve"> Relative TRP in dB vs Sparsity Factor (SF) and for three different electrical sizes. TRP error converges to zero when SF approaches zero. For high SFs the estimated TRP oscillates and without a priori information on the correct TRP value a large method uncertainty, corresponding to the envelope, is needed. </w:t>
      </w:r>
    </w:p>
    <w:p w14:paraId="1FCEB44C" w14:textId="77777777" w:rsidR="00072E5D" w:rsidRPr="00072E5D" w:rsidRDefault="00072E5D" w:rsidP="00072E5D">
      <w:pPr>
        <w:rPr>
          <w:lang w:val="en-GB"/>
        </w:rPr>
      </w:pPr>
    </w:p>
    <w:p w14:paraId="57E778B0" w14:textId="08731960" w:rsidR="00072E5D" w:rsidRPr="00072E5D" w:rsidRDefault="00072E5D" w:rsidP="00072E5D">
      <w:pPr>
        <w:rPr>
          <w:lang w:val="en-GB"/>
        </w:rPr>
      </w:pPr>
      <w:r w:rsidRPr="00072E5D">
        <w:rPr>
          <w:lang w:val="en-GB"/>
        </w:rPr>
        <w:t xml:space="preserve">For electrically small antennas the needed angular resolution is 15 degrees in any direction. For the smallest possible antenna, the Hertz dipole, with a sinusoidal EIRP pattern </w:t>
      </w:r>
    </w:p>
    <w:p w14:paraId="660DD0CD" w14:textId="16EEA936" w:rsidR="00072E5D" w:rsidRPr="00072E5D" w:rsidRDefault="00072E5D" w:rsidP="00072E5D">
      <w:pPr>
        <w:rPr>
          <w:lang w:val="en-GB"/>
        </w:rPr>
      </w:pPr>
      <w:r w:rsidRPr="00072E5D">
        <w:rPr>
          <w:noProof/>
          <w:lang w:val="en-GB"/>
        </w:rPr>
        <w:drawing>
          <wp:inline distT="0" distB="0" distL="0" distR="0" wp14:anchorId="70017A51" wp14:editId="0D447950">
            <wp:extent cx="1152525" cy="2667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52525" cy="266700"/>
                    </a:xfrm>
                    <a:prstGeom prst="rect">
                      <a:avLst/>
                    </a:prstGeom>
                    <a:noFill/>
                    <a:ln>
                      <a:noFill/>
                    </a:ln>
                  </pic:spPr>
                </pic:pic>
              </a:graphicData>
            </a:graphic>
          </wp:inline>
        </w:drawing>
      </w:r>
      <w:r w:rsidRPr="00072E5D">
        <w:rPr>
          <w:lang w:val="en-GB"/>
        </w:rPr>
        <w:tab/>
      </w:r>
      <w:r w:rsidRPr="00072E5D">
        <w:rPr>
          <w:lang w:val="en-GB"/>
        </w:rPr>
        <w:tab/>
        <w:t>(4)</w:t>
      </w:r>
    </w:p>
    <w:p w14:paraId="3B1032A6" w14:textId="77777777" w:rsidR="00072E5D" w:rsidRPr="00072E5D" w:rsidRDefault="00072E5D" w:rsidP="00072E5D">
      <w:pPr>
        <w:rPr>
          <w:lang w:val="en-GB"/>
        </w:rPr>
      </w:pPr>
      <w:r w:rsidRPr="00072E5D">
        <w:rPr>
          <w:lang w:val="en-GB"/>
        </w:rPr>
        <w:t xml:space="preserve">With </w:t>
      </w:r>
      <w:proofErr w:type="spellStart"/>
      <w:proofErr w:type="gramStart"/>
      <w:r w:rsidRPr="00072E5D">
        <w:rPr>
          <w:lang w:val="en-GB"/>
        </w:rPr>
        <w:t>a</w:t>
      </w:r>
      <w:proofErr w:type="spellEnd"/>
      <w:proofErr w:type="gramEnd"/>
      <w:r w:rsidRPr="00072E5D">
        <w:rPr>
          <w:lang w:val="en-GB"/>
        </w:rPr>
        <w:t xml:space="preserve"> angular step of 15 degrees in both angles, i.e., </w:t>
      </w:r>
    </w:p>
    <w:p w14:paraId="7773CC8A" w14:textId="7D941707" w:rsidR="00072E5D" w:rsidRPr="00072E5D" w:rsidRDefault="00072E5D" w:rsidP="00072E5D">
      <w:pPr>
        <w:rPr>
          <w:lang w:val="en-GB"/>
        </w:rPr>
      </w:pPr>
      <w:r w:rsidRPr="00072E5D">
        <w:rPr>
          <w:noProof/>
          <w:lang w:val="en-GB"/>
        </w:rPr>
        <w:drawing>
          <wp:inline distT="0" distB="0" distL="0" distR="0" wp14:anchorId="03BE6DFD" wp14:editId="783753BB">
            <wp:extent cx="1628775" cy="3810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28775" cy="381000"/>
                    </a:xfrm>
                    <a:prstGeom prst="rect">
                      <a:avLst/>
                    </a:prstGeom>
                    <a:noFill/>
                    <a:ln>
                      <a:noFill/>
                    </a:ln>
                  </pic:spPr>
                </pic:pic>
              </a:graphicData>
            </a:graphic>
          </wp:inline>
        </w:drawing>
      </w:r>
      <w:r w:rsidRPr="00072E5D">
        <w:rPr>
          <w:lang w:val="en-GB"/>
        </w:rPr>
        <w:tab/>
      </w:r>
      <w:r w:rsidRPr="00072E5D">
        <w:rPr>
          <w:lang w:val="en-GB"/>
        </w:rPr>
        <w:tab/>
        <w:t>(5)</w:t>
      </w:r>
    </w:p>
    <w:p w14:paraId="307AB9DA" w14:textId="26FFFE49" w:rsidR="00072E5D" w:rsidRPr="00072E5D" w:rsidRDefault="00072E5D" w:rsidP="00072E5D">
      <w:pPr>
        <w:rPr>
          <w:lang w:val="en-GB"/>
        </w:rPr>
      </w:pPr>
      <w:r w:rsidRPr="00072E5D">
        <w:rPr>
          <w:lang w:val="en-GB"/>
        </w:rPr>
        <w:t xml:space="preserve">and M=12 and N=24, the calculated TRP value will have less than 0.0003 dB error compared to the analytically calculated TRP value found by using the </w:t>
      </w:r>
      <w:r>
        <w:rPr>
          <w:lang w:val="en-GB"/>
        </w:rPr>
        <w:t xml:space="preserve">real antenna </w:t>
      </w:r>
      <w:r w:rsidRPr="00072E5D">
        <w:rPr>
          <w:lang w:val="en-GB"/>
        </w:rPr>
        <w:t xml:space="preserve">pattern. By performing similar integration of EIRP data from arbitrary antennas of diameter less than 4 wavelength we have concluded that full sphere integration of EIRP data on a </w:t>
      </w:r>
      <w:proofErr w:type="gramStart"/>
      <w:r w:rsidRPr="00072E5D">
        <w:rPr>
          <w:lang w:val="en-GB"/>
        </w:rPr>
        <w:t>15 deg</w:t>
      </w:r>
      <w:r>
        <w:rPr>
          <w:lang w:val="en-GB"/>
        </w:rPr>
        <w:t>.</w:t>
      </w:r>
      <w:proofErr w:type="gramEnd"/>
      <w:r w:rsidRPr="00072E5D">
        <w:rPr>
          <w:lang w:val="en-GB"/>
        </w:rPr>
        <w:t xml:space="preserve"> grid, see above, results in a TRP error of less than 0.3 </w:t>
      </w:r>
      <w:proofErr w:type="spellStart"/>
      <w:r w:rsidRPr="00072E5D">
        <w:rPr>
          <w:lang w:val="en-GB"/>
        </w:rPr>
        <w:t>dB.</w:t>
      </w:r>
      <w:proofErr w:type="spellEnd"/>
      <w:r w:rsidRPr="00072E5D">
        <w:rPr>
          <w:lang w:val="en-GB"/>
        </w:rPr>
        <w:t xml:space="preserve"> This is in</w:t>
      </w:r>
      <w:r>
        <w:rPr>
          <w:lang w:val="en-GB"/>
        </w:rPr>
        <w:t xml:space="preserve"> </w:t>
      </w:r>
      <w:r w:rsidRPr="00072E5D">
        <w:rPr>
          <w:lang w:val="en-GB"/>
        </w:rPr>
        <w:t>line with the results found in [</w:t>
      </w:r>
      <w:r>
        <w:rPr>
          <w:lang w:val="en-GB"/>
        </w:rPr>
        <w:t>7</w:t>
      </w:r>
      <w:r w:rsidRPr="00072E5D">
        <w:rPr>
          <w:lang w:val="en-GB"/>
        </w:rPr>
        <w:t xml:space="preserve">]. Hence, for TRP and spherical numerical integration, Eq. (3), 4λ is natural upper bound for small antennas. </w:t>
      </w:r>
      <w:r>
        <w:rPr>
          <w:lang w:val="en-GB"/>
        </w:rPr>
        <w:t>Note</w:t>
      </w:r>
      <w:r w:rsidRPr="00072E5D">
        <w:rPr>
          <w:lang w:val="en-GB"/>
        </w:rPr>
        <w:t xml:space="preserve"> that any antenna can be electrically small at sufficiently low frequencies and electrically large at sufficiently high frequencies.</w:t>
      </w:r>
    </w:p>
    <w:p w14:paraId="6F38B370" w14:textId="53D6BD8D" w:rsidR="00072E5D" w:rsidRPr="00072E5D" w:rsidRDefault="00072E5D" w:rsidP="00072E5D">
      <w:pPr>
        <w:rPr>
          <w:lang w:val="en-GB"/>
        </w:rPr>
      </w:pPr>
      <w:r w:rsidRPr="00072E5D">
        <w:rPr>
          <w:lang w:val="en-GB"/>
        </w:rPr>
        <w:t>Whenever there are practi</w:t>
      </w:r>
      <w:r>
        <w:rPr>
          <w:lang w:val="en-GB"/>
        </w:rPr>
        <w:t>c</w:t>
      </w:r>
      <w:r w:rsidRPr="00072E5D">
        <w:rPr>
          <w:lang w:val="en-GB"/>
        </w:rPr>
        <w:t xml:space="preserve">al </w:t>
      </w:r>
      <w:r>
        <w:rPr>
          <w:lang w:val="en-GB"/>
        </w:rPr>
        <w:t>limitations</w:t>
      </w:r>
      <w:r w:rsidRPr="00072E5D">
        <w:rPr>
          <w:lang w:val="en-GB"/>
        </w:rPr>
        <w:t>, such as test time, for performing full sphere measurement</w:t>
      </w:r>
      <w:r>
        <w:rPr>
          <w:lang w:val="en-GB"/>
        </w:rPr>
        <w:t>,</w:t>
      </w:r>
      <w:r w:rsidRPr="00072E5D">
        <w:rPr>
          <w:lang w:val="en-GB"/>
        </w:rPr>
        <w:t xml:space="preserve"> it is proposed to allow for measuring two or three orthogonal cuts. This will result in under</w:t>
      </w:r>
      <w:r>
        <w:rPr>
          <w:lang w:val="en-GB"/>
        </w:rPr>
        <w:t>-</w:t>
      </w:r>
      <w:r w:rsidRPr="00072E5D">
        <w:rPr>
          <w:lang w:val="en-GB"/>
        </w:rPr>
        <w:t xml:space="preserve">sampling and a risk of estimating a too low value of TRP. To handle this </w:t>
      </w:r>
      <w:proofErr w:type="gramStart"/>
      <w:r w:rsidRPr="00072E5D">
        <w:rPr>
          <w:lang w:val="en-GB"/>
        </w:rPr>
        <w:t>situation</w:t>
      </w:r>
      <w:proofErr w:type="gramEnd"/>
      <w:r w:rsidRPr="00072E5D">
        <w:rPr>
          <w:lang w:val="en-GB"/>
        </w:rPr>
        <w:t xml:space="preserve"> we have used a statistical approach where we consider small antennas (D&lt;4λ) as represented by a Spherical Wave Expansion (SWE), see [4], with mode truncation </w:t>
      </w:r>
    </w:p>
    <w:p w14:paraId="6D48C852" w14:textId="1FEF1948" w:rsidR="00072E5D" w:rsidRPr="00072E5D" w:rsidRDefault="00072E5D" w:rsidP="00072E5D">
      <w:pPr>
        <w:rPr>
          <w:lang w:val="en-GB"/>
        </w:rPr>
      </w:pPr>
      <w:r w:rsidRPr="00072E5D">
        <w:rPr>
          <w:noProof/>
          <w:lang w:val="en-GB"/>
        </w:rPr>
        <w:drawing>
          <wp:inline distT="0" distB="0" distL="0" distR="0" wp14:anchorId="3B8E406D" wp14:editId="4C602819">
            <wp:extent cx="1485900" cy="12382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0" cy="123825"/>
                    </a:xfrm>
                    <a:prstGeom prst="rect">
                      <a:avLst/>
                    </a:prstGeom>
                    <a:noFill/>
                    <a:ln>
                      <a:noFill/>
                    </a:ln>
                  </pic:spPr>
                </pic:pic>
              </a:graphicData>
            </a:graphic>
          </wp:inline>
        </w:drawing>
      </w:r>
      <w:r w:rsidRPr="00072E5D">
        <w:rPr>
          <w:lang w:val="en-GB"/>
        </w:rPr>
        <w:tab/>
      </w:r>
      <w:r w:rsidRPr="00072E5D">
        <w:rPr>
          <w:lang w:val="en-GB"/>
        </w:rPr>
        <w:tab/>
        <w:t>(6)</w:t>
      </w:r>
    </w:p>
    <w:p w14:paraId="1C39DCB7" w14:textId="77777777" w:rsidR="00072E5D" w:rsidRPr="00072E5D" w:rsidRDefault="00072E5D" w:rsidP="00072E5D">
      <w:pPr>
        <w:rPr>
          <w:lang w:val="en-GB"/>
        </w:rPr>
      </w:pPr>
      <w:r w:rsidRPr="00072E5D">
        <w:rPr>
          <w:lang w:val="en-GB"/>
        </w:rPr>
        <w:t xml:space="preserve">The corresponding TRP estimates at the 5% percentile is shown in Fig. 3 for </w:t>
      </w:r>
      <w:proofErr w:type="spellStart"/>
      <w:r w:rsidRPr="00072E5D">
        <w:rPr>
          <w:lang w:val="en-GB"/>
        </w:rPr>
        <w:t>for</w:t>
      </w:r>
      <w:proofErr w:type="spellEnd"/>
      <w:r w:rsidRPr="00072E5D">
        <w:rPr>
          <w:lang w:val="en-GB"/>
        </w:rPr>
        <w:t xml:space="preserve"> full sphere, two </w:t>
      </w:r>
      <w:proofErr w:type="gramStart"/>
      <w:r w:rsidRPr="00072E5D">
        <w:rPr>
          <w:lang w:val="en-GB"/>
        </w:rPr>
        <w:t>cut</w:t>
      </w:r>
      <w:proofErr w:type="gramEnd"/>
      <w:r w:rsidRPr="00072E5D">
        <w:rPr>
          <w:lang w:val="en-GB"/>
        </w:rPr>
        <w:t xml:space="preserve"> and three cut grids.</w:t>
      </w:r>
    </w:p>
    <w:p w14:paraId="72D513BF" w14:textId="4DE9EC2F" w:rsidR="00072E5D" w:rsidRPr="00072E5D" w:rsidRDefault="00072E5D" w:rsidP="00072E5D">
      <w:pPr>
        <w:rPr>
          <w:lang w:val="en-GB"/>
        </w:rPr>
      </w:pPr>
      <w:r w:rsidRPr="00072E5D">
        <w:rPr>
          <w:noProof/>
          <w:lang w:val="en-GB"/>
        </w:rPr>
        <w:lastRenderedPageBreak/>
        <w:drawing>
          <wp:inline distT="0" distB="0" distL="0" distR="0" wp14:anchorId="5B4A744E" wp14:editId="5BF12A20">
            <wp:extent cx="3876675" cy="248602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76675" cy="2486025"/>
                    </a:xfrm>
                    <a:prstGeom prst="rect">
                      <a:avLst/>
                    </a:prstGeom>
                    <a:noFill/>
                    <a:ln>
                      <a:noFill/>
                    </a:ln>
                  </pic:spPr>
                </pic:pic>
              </a:graphicData>
            </a:graphic>
          </wp:inline>
        </w:drawing>
      </w:r>
    </w:p>
    <w:p w14:paraId="73637A39" w14:textId="279F748A" w:rsidR="00072E5D" w:rsidRPr="00072E5D" w:rsidRDefault="00072E5D" w:rsidP="00072E5D">
      <w:pPr>
        <w:rPr>
          <w:lang w:val="en-GB"/>
        </w:rPr>
      </w:pPr>
      <w:r w:rsidRPr="00072E5D">
        <w:rPr>
          <w:b/>
          <w:lang w:val="en-GB"/>
        </w:rPr>
        <w:t>Figure 3:</w:t>
      </w:r>
      <w:r w:rsidRPr="00072E5D">
        <w:rPr>
          <w:lang w:val="en-GB"/>
        </w:rPr>
        <w:t xml:space="preserve"> TRP error at 5</w:t>
      </w:r>
      <w:r w:rsidR="00053342" w:rsidRPr="00053342">
        <w:rPr>
          <w:vertAlign w:val="superscript"/>
          <w:lang w:val="en-GB"/>
        </w:rPr>
        <w:t>th</w:t>
      </w:r>
      <w:r w:rsidR="00053342">
        <w:rPr>
          <w:lang w:val="en-GB"/>
        </w:rPr>
        <w:t xml:space="preserve"> </w:t>
      </w:r>
      <w:r w:rsidRPr="00072E5D">
        <w:rPr>
          <w:lang w:val="en-GB"/>
        </w:rPr>
        <w:t xml:space="preserve">percentile evaluated using a </w:t>
      </w:r>
      <w:proofErr w:type="gramStart"/>
      <w:r w:rsidRPr="00072E5D">
        <w:rPr>
          <w:lang w:val="en-GB"/>
        </w:rPr>
        <w:t>15 deg</w:t>
      </w:r>
      <w:r w:rsidR="00E24238">
        <w:rPr>
          <w:lang w:val="en-GB"/>
        </w:rPr>
        <w:t>.</w:t>
      </w:r>
      <w:proofErr w:type="gramEnd"/>
      <w:r w:rsidRPr="00072E5D">
        <w:rPr>
          <w:lang w:val="en-GB"/>
        </w:rPr>
        <w:t xml:space="preserve"> grid and for three different spatial grids, two cuts, three cuts, or full sphere. The corresponding underestimates (at 95% confidence level) are shown using dots at -0.8 dB, -0.6 dB and -0.2 dB, respectively. The negative of these values is the residual error, here called ΔTRP values, for the proposed method for small antennas.</w:t>
      </w:r>
    </w:p>
    <w:p w14:paraId="4A54D604" w14:textId="2E1621F4" w:rsidR="00072E5D" w:rsidRPr="00072E5D" w:rsidRDefault="00072E5D" w:rsidP="00072E5D">
      <w:pPr>
        <w:rPr>
          <w:lang w:val="en-GB"/>
        </w:rPr>
      </w:pPr>
      <w:r w:rsidRPr="00072E5D">
        <w:rPr>
          <w:lang w:val="en-GB"/>
        </w:rPr>
        <w:t xml:space="preserve">In the case of </w:t>
      </w:r>
      <w:r w:rsidR="00053342">
        <w:rPr>
          <w:lang w:val="en-GB"/>
        </w:rPr>
        <w:t>s</w:t>
      </w:r>
      <w:r w:rsidRPr="00072E5D">
        <w:rPr>
          <w:lang w:val="en-GB"/>
        </w:rPr>
        <w:t xml:space="preserve">purious </w:t>
      </w:r>
      <w:r w:rsidR="00053342">
        <w:rPr>
          <w:lang w:val="en-GB"/>
        </w:rPr>
        <w:t>e</w:t>
      </w:r>
      <w:r w:rsidRPr="00072E5D">
        <w:rPr>
          <w:lang w:val="en-GB"/>
        </w:rPr>
        <w:t>missions for electrically large sources/antennas the following observations are made:</w:t>
      </w:r>
    </w:p>
    <w:p w14:paraId="33A3344A" w14:textId="77777777" w:rsidR="00072E5D" w:rsidRPr="00072E5D" w:rsidRDefault="00072E5D" w:rsidP="00072E5D">
      <w:pPr>
        <w:numPr>
          <w:ilvl w:val="0"/>
          <w:numId w:val="9"/>
        </w:numPr>
        <w:rPr>
          <w:lang w:val="en-GB"/>
        </w:rPr>
      </w:pPr>
      <w:r w:rsidRPr="00072E5D">
        <w:rPr>
          <w:lang w:val="en-GB"/>
        </w:rPr>
        <w:t>The emissions do not necessarily radiate through the antenna elements. To be on the conservative side, the entire chassis dimensions should be considered when calculating the needed angular resolution.</w:t>
      </w:r>
    </w:p>
    <w:p w14:paraId="1719D6BF" w14:textId="77777777" w:rsidR="00072E5D" w:rsidRPr="00072E5D" w:rsidRDefault="00072E5D" w:rsidP="00072E5D">
      <w:pPr>
        <w:numPr>
          <w:ilvl w:val="0"/>
          <w:numId w:val="9"/>
        </w:numPr>
        <w:rPr>
          <w:lang w:val="en-GB"/>
        </w:rPr>
      </w:pPr>
      <w:r w:rsidRPr="00072E5D">
        <w:rPr>
          <w:lang w:val="en-GB"/>
        </w:rPr>
        <w:t>The angular resolution of the emissions is dominated by the geometrical distribution of each elemental contribution rather than the radiation pattern of the elemental sources which typically have a low angular resolution. Hence, we study the array factor of a set of point sources and neglect any element pattern effect.</w:t>
      </w:r>
    </w:p>
    <w:p w14:paraId="55502B63" w14:textId="229F63E0" w:rsidR="00072E5D" w:rsidRPr="00072E5D" w:rsidRDefault="00072E5D" w:rsidP="00072E5D">
      <w:pPr>
        <w:numPr>
          <w:ilvl w:val="0"/>
          <w:numId w:val="9"/>
        </w:numPr>
        <w:rPr>
          <w:lang w:val="en-GB"/>
        </w:rPr>
      </w:pPr>
      <w:r w:rsidRPr="00072E5D">
        <w:rPr>
          <w:lang w:val="en-GB"/>
        </w:rPr>
        <w:t xml:space="preserve">The emission lobes will be narrow and hard to locate for high frequencies. We </w:t>
      </w:r>
      <w:r w:rsidR="00E0579B">
        <w:rPr>
          <w:lang w:val="en-GB"/>
        </w:rPr>
        <w:t>model</w:t>
      </w:r>
      <w:r w:rsidRPr="00072E5D">
        <w:rPr>
          <w:lang w:val="en-GB"/>
        </w:rPr>
        <w:t xml:space="preserve"> this </w:t>
      </w:r>
      <w:r w:rsidR="00E0579B">
        <w:rPr>
          <w:lang w:val="en-GB"/>
        </w:rPr>
        <w:t>effect</w:t>
      </w:r>
      <w:r w:rsidRPr="00072E5D">
        <w:rPr>
          <w:lang w:val="en-GB"/>
        </w:rPr>
        <w:t xml:space="preserve"> by applying random rotations to the sources of emissions.</w:t>
      </w:r>
    </w:p>
    <w:p w14:paraId="7F9D522C" w14:textId="15099B99" w:rsidR="00072E5D" w:rsidRPr="00072E5D" w:rsidRDefault="00072E5D" w:rsidP="00072E5D">
      <w:pPr>
        <w:numPr>
          <w:ilvl w:val="0"/>
          <w:numId w:val="9"/>
        </w:numPr>
        <w:rPr>
          <w:lang w:val="en-GB"/>
        </w:rPr>
      </w:pPr>
      <w:r w:rsidRPr="00072E5D">
        <w:rPr>
          <w:lang w:val="en-GB"/>
        </w:rPr>
        <w:t>The emissions are very unlikely to have a high degree of correlation except for harmonic emissions. For harmonic emissions we propose to use a beam sweeping test signal</w:t>
      </w:r>
      <w:r w:rsidR="00053342">
        <w:rPr>
          <w:lang w:val="en-GB"/>
        </w:rPr>
        <w:t xml:space="preserve"> [8]</w:t>
      </w:r>
      <w:r w:rsidRPr="00072E5D">
        <w:rPr>
          <w:lang w:val="en-GB"/>
        </w:rPr>
        <w:t xml:space="preserve">. Otherwise, we simulate the degree of correlation by using emission sources with correlation </w:t>
      </w:r>
      <w:proofErr w:type="gramStart"/>
      <w:r w:rsidRPr="00072E5D">
        <w:rPr>
          <w:lang w:val="en-GB"/>
        </w:rPr>
        <w:t>in a given</w:t>
      </w:r>
      <w:proofErr w:type="gramEnd"/>
      <w:r w:rsidRPr="00072E5D">
        <w:rPr>
          <w:lang w:val="en-GB"/>
        </w:rPr>
        <w:t xml:space="preserve"> interval from 0 to </w:t>
      </w:r>
      <w:r w:rsidRPr="00072E5D">
        <w:rPr>
          <w:noProof/>
          <w:lang w:val="en-GB"/>
        </w:rPr>
        <w:drawing>
          <wp:inline distT="0" distB="0" distL="0" distR="0" wp14:anchorId="525CC4F4" wp14:editId="52085F2D">
            <wp:extent cx="257175" cy="8572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7175" cy="85725"/>
                    </a:xfrm>
                    <a:prstGeom prst="rect">
                      <a:avLst/>
                    </a:prstGeom>
                    <a:noFill/>
                    <a:ln>
                      <a:noFill/>
                    </a:ln>
                  </pic:spPr>
                </pic:pic>
              </a:graphicData>
            </a:graphic>
          </wp:inline>
        </w:drawing>
      </w:r>
      <w:r w:rsidRPr="00072E5D">
        <w:rPr>
          <w:lang w:val="en-GB"/>
        </w:rPr>
        <w:t>.</w:t>
      </w:r>
    </w:p>
    <w:p w14:paraId="516660B0" w14:textId="77777777" w:rsidR="00072E5D" w:rsidRPr="00072E5D" w:rsidRDefault="00072E5D" w:rsidP="00072E5D">
      <w:pPr>
        <w:rPr>
          <w:lang w:val="en-GB"/>
        </w:rPr>
      </w:pPr>
      <w:r w:rsidRPr="00072E5D">
        <w:rPr>
          <w:lang w:val="en-GB"/>
        </w:rPr>
        <w:t xml:space="preserve">The method to estimate ΔTRP for large antennas (D&gt;4λ) is based on generating a set of statistical samples of TRP values calculated on a set of randomly generated emission sources of a given electrical size </w:t>
      </w:r>
    </w:p>
    <w:p w14:paraId="5F981FC5" w14:textId="1CE531D9" w:rsidR="00072E5D" w:rsidRPr="00072E5D" w:rsidRDefault="00072E5D" w:rsidP="00072E5D">
      <w:pPr>
        <w:rPr>
          <w:lang w:val="en-GB"/>
        </w:rPr>
      </w:pPr>
      <w:r w:rsidRPr="00072E5D">
        <w:rPr>
          <w:noProof/>
          <w:lang w:val="en-GB"/>
        </w:rPr>
        <w:drawing>
          <wp:inline distT="0" distB="0" distL="0" distR="0" wp14:anchorId="4BFC9EB4" wp14:editId="3684BA20">
            <wp:extent cx="714375" cy="1238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14375" cy="123825"/>
                    </a:xfrm>
                    <a:prstGeom prst="rect">
                      <a:avLst/>
                    </a:prstGeom>
                    <a:noFill/>
                    <a:ln>
                      <a:noFill/>
                    </a:ln>
                  </pic:spPr>
                </pic:pic>
              </a:graphicData>
            </a:graphic>
          </wp:inline>
        </w:drawing>
      </w:r>
    </w:p>
    <w:p w14:paraId="6A07AE9E" w14:textId="77777777" w:rsidR="00072E5D" w:rsidRPr="00072E5D" w:rsidRDefault="00072E5D" w:rsidP="00072E5D">
      <w:pPr>
        <w:rPr>
          <w:lang w:val="en-GB"/>
        </w:rPr>
      </w:pPr>
      <w:r w:rsidRPr="00072E5D">
        <w:rPr>
          <w:lang w:val="en-GB"/>
        </w:rPr>
        <w:lastRenderedPageBreak/>
        <w:t>The final TRP values are then calculated by using a given angular grid and Eq. (3). The TRP values are then sorted and the negative value of the 5th percentile of the empirical CDF is used as ΔTRP.</w:t>
      </w:r>
    </w:p>
    <w:p w14:paraId="43C2CC60" w14:textId="0E0B9326" w:rsidR="00072E5D" w:rsidRPr="00072E5D" w:rsidRDefault="00053342" w:rsidP="00072E5D">
      <w:pPr>
        <w:rPr>
          <w:lang w:val="en-GB"/>
        </w:rPr>
      </w:pPr>
      <w:r>
        <w:rPr>
          <w:lang w:val="en-GB"/>
        </w:rPr>
        <w:t>In this investigation e</w:t>
      </w:r>
      <w:r w:rsidR="00072E5D" w:rsidRPr="00072E5D">
        <w:rPr>
          <w:lang w:val="en-GB"/>
        </w:rPr>
        <w:t>ach statistical sample is generated as follows:</w:t>
      </w:r>
    </w:p>
    <w:p w14:paraId="232744B6" w14:textId="6F3EE64F" w:rsidR="00072E5D" w:rsidRPr="00072E5D" w:rsidRDefault="00072E5D" w:rsidP="00072E5D">
      <w:pPr>
        <w:numPr>
          <w:ilvl w:val="0"/>
          <w:numId w:val="10"/>
        </w:numPr>
        <w:rPr>
          <w:lang w:val="en-GB"/>
        </w:rPr>
      </w:pPr>
      <w:r w:rsidRPr="00072E5D">
        <w:rPr>
          <w:lang w:val="en-GB"/>
        </w:rPr>
        <w:t xml:space="preserve">Set up a quadratic uniform linear </w:t>
      </w:r>
      <w:proofErr w:type="spellStart"/>
      <w:r w:rsidRPr="00072E5D">
        <w:rPr>
          <w:lang w:val="en-GB"/>
        </w:rPr>
        <w:t>NxN</w:t>
      </w:r>
      <w:proofErr w:type="spellEnd"/>
      <w:r w:rsidRPr="00072E5D">
        <w:rPr>
          <w:lang w:val="en-GB"/>
        </w:rPr>
        <w:t xml:space="preserve"> array in the </w:t>
      </w:r>
      <w:proofErr w:type="spellStart"/>
      <w:r w:rsidRPr="00072E5D">
        <w:rPr>
          <w:lang w:val="en-GB"/>
        </w:rPr>
        <w:t>yz</w:t>
      </w:r>
      <w:proofErr w:type="spellEnd"/>
      <w:r w:rsidRPr="00072E5D">
        <w:rPr>
          <w:lang w:val="en-GB"/>
        </w:rPr>
        <w:t xml:space="preserve">-plane. Select N between 2 and 10 and set the point separation to achieve the diameter </w:t>
      </w:r>
      <w:r w:rsidRPr="00072E5D">
        <w:rPr>
          <w:noProof/>
          <w:lang w:val="en-GB"/>
        </w:rPr>
        <w:drawing>
          <wp:inline distT="0" distB="0" distL="0" distR="0" wp14:anchorId="356145F8" wp14:editId="42F9DF2B">
            <wp:extent cx="647700" cy="1143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7700" cy="114300"/>
                    </a:xfrm>
                    <a:prstGeom prst="rect">
                      <a:avLst/>
                    </a:prstGeom>
                    <a:noFill/>
                    <a:ln>
                      <a:noFill/>
                    </a:ln>
                  </pic:spPr>
                </pic:pic>
              </a:graphicData>
            </a:graphic>
          </wp:inline>
        </w:drawing>
      </w:r>
      <w:r w:rsidRPr="00072E5D">
        <w:rPr>
          <w:lang w:val="en-GB"/>
        </w:rPr>
        <w:t>. Avoid using se</w:t>
      </w:r>
      <w:r w:rsidR="00053342">
        <w:rPr>
          <w:lang w:val="en-GB"/>
        </w:rPr>
        <w:t>pa</w:t>
      </w:r>
      <w:r w:rsidRPr="00072E5D">
        <w:rPr>
          <w:lang w:val="en-GB"/>
        </w:rPr>
        <w:t>rations smaller than a half wave length to improve the statistical spread.</w:t>
      </w:r>
    </w:p>
    <w:p w14:paraId="3483B8AF" w14:textId="39FA72C5" w:rsidR="00072E5D" w:rsidRPr="00072E5D" w:rsidRDefault="00072E5D" w:rsidP="00072E5D">
      <w:pPr>
        <w:numPr>
          <w:ilvl w:val="0"/>
          <w:numId w:val="10"/>
        </w:numPr>
        <w:rPr>
          <w:lang w:val="en-GB"/>
        </w:rPr>
      </w:pPr>
      <w:r w:rsidRPr="00072E5D">
        <w:rPr>
          <w:lang w:val="en-GB"/>
        </w:rPr>
        <w:t xml:space="preserve">Rotate the source points by </w:t>
      </w:r>
      <w:proofErr w:type="gramStart"/>
      <w:r w:rsidRPr="00072E5D">
        <w:rPr>
          <w:lang w:val="en-GB"/>
        </w:rPr>
        <w:t>an</w:t>
      </w:r>
      <w:proofErr w:type="gramEnd"/>
      <w:r w:rsidRPr="00072E5D">
        <w:rPr>
          <w:lang w:val="en-GB"/>
        </w:rPr>
        <w:t xml:space="preserve"> Euler </w:t>
      </w:r>
      <w:proofErr w:type="spellStart"/>
      <w:r w:rsidRPr="00072E5D">
        <w:rPr>
          <w:lang w:val="en-GB"/>
        </w:rPr>
        <w:t>zyz</w:t>
      </w:r>
      <w:proofErr w:type="spellEnd"/>
      <w:r w:rsidRPr="00072E5D">
        <w:rPr>
          <w:lang w:val="en-GB"/>
        </w:rPr>
        <w:t>-rotation [</w:t>
      </w:r>
      <w:r w:rsidR="00053342">
        <w:rPr>
          <w:lang w:val="en-GB"/>
        </w:rPr>
        <w:t>9</w:t>
      </w:r>
      <w:r w:rsidRPr="00072E5D">
        <w:rPr>
          <w:lang w:val="en-GB"/>
        </w:rPr>
        <w:t xml:space="preserve">] with angles a, b, and c which are uniformly chosen on the intervals [0,360], [0,90] and [0,360] degrees, respectively. The rotated position of source n is denoted </w:t>
      </w:r>
      <w:r w:rsidRPr="00072E5D">
        <w:rPr>
          <w:noProof/>
          <w:lang w:val="en-GB"/>
        </w:rPr>
        <w:drawing>
          <wp:inline distT="0" distB="0" distL="0" distR="0" wp14:anchorId="6FC6081E" wp14:editId="16BE990B">
            <wp:extent cx="123825" cy="1524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072E5D">
        <w:rPr>
          <w:lang w:val="en-GB"/>
        </w:rPr>
        <w:t xml:space="preserve"> </w:t>
      </w:r>
    </w:p>
    <w:p w14:paraId="3C50DEC0" w14:textId="632CB3CD" w:rsidR="00072E5D" w:rsidRPr="00072E5D" w:rsidRDefault="00072E5D" w:rsidP="00072E5D">
      <w:pPr>
        <w:numPr>
          <w:ilvl w:val="0"/>
          <w:numId w:val="10"/>
        </w:numPr>
        <w:rPr>
          <w:lang w:val="en-GB"/>
        </w:rPr>
      </w:pPr>
      <w:r w:rsidRPr="00072E5D">
        <w:rPr>
          <w:lang w:val="en-GB"/>
        </w:rPr>
        <w:t xml:space="preserve">Pick a random correlation value ρ from the uniform distribution between 0 and </w:t>
      </w:r>
      <w:r w:rsidRPr="00072E5D">
        <w:rPr>
          <w:noProof/>
          <w:lang w:val="en-GB"/>
        </w:rPr>
        <w:drawing>
          <wp:inline distT="0" distB="0" distL="0" distR="0" wp14:anchorId="1B325C9D" wp14:editId="4071A751">
            <wp:extent cx="257175" cy="857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7175" cy="85725"/>
                    </a:xfrm>
                    <a:prstGeom prst="rect">
                      <a:avLst/>
                    </a:prstGeom>
                    <a:noFill/>
                    <a:ln>
                      <a:noFill/>
                    </a:ln>
                  </pic:spPr>
                </pic:pic>
              </a:graphicData>
            </a:graphic>
          </wp:inline>
        </w:drawing>
      </w:r>
      <w:r w:rsidRPr="00072E5D">
        <w:rPr>
          <w:lang w:val="en-GB"/>
        </w:rPr>
        <w:t>, and generate source weights as</w:t>
      </w:r>
    </w:p>
    <w:p w14:paraId="057E490A" w14:textId="44ADA680" w:rsidR="00072E5D" w:rsidRPr="00072E5D" w:rsidRDefault="00072E5D" w:rsidP="00072E5D">
      <w:pPr>
        <w:rPr>
          <w:lang w:val="en-GB"/>
        </w:rPr>
      </w:pPr>
      <w:r w:rsidRPr="00072E5D">
        <w:rPr>
          <w:noProof/>
          <w:lang w:val="en-GB"/>
        </w:rPr>
        <w:drawing>
          <wp:inline distT="0" distB="0" distL="0" distR="0" wp14:anchorId="7617B44B" wp14:editId="575A77AA">
            <wp:extent cx="1828800" cy="3048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58C4BD94" w14:textId="6B020F7F" w:rsidR="00072E5D" w:rsidRPr="00072E5D" w:rsidRDefault="00072E5D" w:rsidP="00072E5D">
      <w:pPr>
        <w:rPr>
          <w:lang w:val="en-GB"/>
        </w:rPr>
      </w:pPr>
      <w:r w:rsidRPr="00072E5D">
        <w:rPr>
          <w:lang w:val="en-GB"/>
        </w:rPr>
        <w:t xml:space="preserve">Where </w:t>
      </w:r>
      <w:r w:rsidRPr="00072E5D">
        <w:rPr>
          <w:noProof/>
          <w:lang w:val="en-GB"/>
        </w:rPr>
        <w:drawing>
          <wp:inline distT="0" distB="0" distL="0" distR="0" wp14:anchorId="066CA978" wp14:editId="56D2AB4A">
            <wp:extent cx="876300" cy="1238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76300" cy="123825"/>
                    </a:xfrm>
                    <a:prstGeom prst="rect">
                      <a:avLst/>
                    </a:prstGeom>
                    <a:noFill/>
                    <a:ln>
                      <a:noFill/>
                    </a:ln>
                  </pic:spPr>
                </pic:pic>
              </a:graphicData>
            </a:graphic>
          </wp:inline>
        </w:drawing>
      </w:r>
      <w:r w:rsidRPr="00072E5D">
        <w:rPr>
          <w:lang w:val="en-GB"/>
        </w:rPr>
        <w:t xml:space="preserve"> are picked from a normal distribution with zero mean and unit standard deviation.</w:t>
      </w:r>
    </w:p>
    <w:p w14:paraId="0EA9B268" w14:textId="77777777" w:rsidR="00072E5D" w:rsidRPr="00072E5D" w:rsidRDefault="00072E5D" w:rsidP="00072E5D">
      <w:pPr>
        <w:numPr>
          <w:ilvl w:val="0"/>
          <w:numId w:val="10"/>
        </w:numPr>
        <w:rPr>
          <w:lang w:val="en-GB"/>
        </w:rPr>
      </w:pPr>
      <w:r w:rsidRPr="00072E5D">
        <w:rPr>
          <w:lang w:val="en-GB"/>
        </w:rPr>
        <w:t xml:space="preserve">Normalize the weights to TRP=1 by using a </w:t>
      </w:r>
      <w:r w:rsidRPr="00072E5D">
        <w:rPr>
          <w:i/>
          <w:lang w:val="en-GB"/>
        </w:rPr>
        <w:t>dense grid</w:t>
      </w:r>
      <w:r w:rsidRPr="00072E5D">
        <w:rPr>
          <w:lang w:val="en-GB"/>
        </w:rPr>
        <w:t xml:space="preserve"> and </w:t>
      </w:r>
      <w:proofErr w:type="spellStart"/>
      <w:r w:rsidRPr="00072E5D">
        <w:rPr>
          <w:lang w:val="en-GB"/>
        </w:rPr>
        <w:t>Eq</w:t>
      </w:r>
      <w:proofErr w:type="spellEnd"/>
      <w:r w:rsidRPr="00072E5D">
        <w:rPr>
          <w:lang w:val="en-GB"/>
        </w:rPr>
        <w:t xml:space="preserve"> (1).</w:t>
      </w:r>
    </w:p>
    <w:p w14:paraId="1F2DF8E1" w14:textId="77777777" w:rsidR="00072E5D" w:rsidRPr="00072E5D" w:rsidRDefault="00072E5D" w:rsidP="00072E5D">
      <w:pPr>
        <w:numPr>
          <w:ilvl w:val="0"/>
          <w:numId w:val="10"/>
        </w:numPr>
        <w:rPr>
          <w:lang w:val="en-GB"/>
        </w:rPr>
      </w:pPr>
      <w:r w:rsidRPr="00072E5D">
        <w:rPr>
          <w:lang w:val="en-GB"/>
        </w:rPr>
        <w:t>Generate EIRP values on the desired grid by using an array factor</w:t>
      </w:r>
    </w:p>
    <w:p w14:paraId="41B192F3" w14:textId="7348CBE5" w:rsidR="00072E5D" w:rsidRPr="00072E5D" w:rsidRDefault="00072E5D" w:rsidP="00072E5D">
      <w:pPr>
        <w:rPr>
          <w:lang w:val="en-GB"/>
        </w:rPr>
      </w:pPr>
      <w:r w:rsidRPr="00072E5D">
        <w:rPr>
          <w:noProof/>
          <w:lang w:val="en-GB"/>
        </w:rPr>
        <w:drawing>
          <wp:inline distT="0" distB="0" distL="0" distR="0" wp14:anchorId="11AE1CC4" wp14:editId="644CD9B4">
            <wp:extent cx="1838325" cy="4191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38325" cy="419100"/>
                    </a:xfrm>
                    <a:prstGeom prst="rect">
                      <a:avLst/>
                    </a:prstGeom>
                    <a:noFill/>
                    <a:ln>
                      <a:noFill/>
                    </a:ln>
                  </pic:spPr>
                </pic:pic>
              </a:graphicData>
            </a:graphic>
          </wp:inline>
        </w:drawing>
      </w:r>
    </w:p>
    <w:p w14:paraId="545F4B7E" w14:textId="77777777" w:rsidR="00072E5D" w:rsidRPr="00072E5D" w:rsidRDefault="00072E5D" w:rsidP="00072E5D">
      <w:pPr>
        <w:numPr>
          <w:ilvl w:val="0"/>
          <w:numId w:val="10"/>
        </w:numPr>
        <w:rPr>
          <w:lang w:val="en-GB"/>
        </w:rPr>
      </w:pPr>
      <w:r w:rsidRPr="00072E5D">
        <w:rPr>
          <w:lang w:val="en-GB"/>
        </w:rPr>
        <w:t xml:space="preserve"> Calculate the TRP value as an appropriate mean value of the EIRP values.</w:t>
      </w:r>
    </w:p>
    <w:p w14:paraId="66E00B18" w14:textId="0DA7A59F" w:rsidR="00072E5D" w:rsidRPr="00072E5D" w:rsidRDefault="00072E5D" w:rsidP="00072E5D">
      <w:pPr>
        <w:rPr>
          <w:lang w:val="en-GB"/>
        </w:rPr>
      </w:pPr>
      <w:r w:rsidRPr="00072E5D">
        <w:rPr>
          <w:lang w:val="en-GB"/>
        </w:rPr>
        <w:t>The resulting 5</w:t>
      </w:r>
      <w:r w:rsidR="00053342" w:rsidRPr="00053342">
        <w:rPr>
          <w:vertAlign w:val="superscript"/>
          <w:lang w:val="en-GB"/>
        </w:rPr>
        <w:t>th</w:t>
      </w:r>
      <w:r w:rsidR="00053342">
        <w:rPr>
          <w:lang w:val="en-GB"/>
        </w:rPr>
        <w:t xml:space="preserve"> </w:t>
      </w:r>
      <w:r w:rsidRPr="00072E5D">
        <w:rPr>
          <w:lang w:val="en-GB"/>
        </w:rPr>
        <w:t>percentile values of the empirical CDFs are deemed to be a practical lower bound on the TRP calculated directly from the points in the actual grid. If the 5</w:t>
      </w:r>
      <w:r w:rsidRPr="00072E5D">
        <w:rPr>
          <w:vertAlign w:val="superscript"/>
          <w:lang w:val="en-GB"/>
        </w:rPr>
        <w:t>th</w:t>
      </w:r>
      <w:r w:rsidRPr="00072E5D">
        <w:rPr>
          <w:lang w:val="en-GB"/>
        </w:rPr>
        <w:t xml:space="preserve"> percentile value is positive, there is no need for a systematic correction, that means ΔTRP=0. On the other hand, if the 5</w:t>
      </w:r>
      <w:r w:rsidRPr="00072E5D">
        <w:rPr>
          <w:vertAlign w:val="superscript"/>
          <w:lang w:val="en-GB"/>
        </w:rPr>
        <w:t>th</w:t>
      </w:r>
      <w:r w:rsidRPr="00072E5D">
        <w:rPr>
          <w:lang w:val="en-GB"/>
        </w:rPr>
        <w:t xml:space="preserve"> percentile value is negative, a systematic correction is needed to avoid TRP underestimation with 95% confidence. For this purpose, the absolute value of the 5</w:t>
      </w:r>
      <w:r w:rsidRPr="00072E5D">
        <w:rPr>
          <w:vertAlign w:val="superscript"/>
          <w:lang w:val="en-GB"/>
        </w:rPr>
        <w:t>th</w:t>
      </w:r>
      <w:r w:rsidRPr="00072E5D">
        <w:rPr>
          <w:lang w:val="en-GB"/>
        </w:rPr>
        <w:t xml:space="preserve"> percentile is used as systematic correction ΔTRP (see Fig. 4). Some simulation results are found in Fig</w:t>
      </w:r>
      <w:r w:rsidR="00053342">
        <w:rPr>
          <w:lang w:val="en-GB"/>
        </w:rPr>
        <w:t>ures</w:t>
      </w:r>
      <w:r w:rsidRPr="00072E5D">
        <w:rPr>
          <w:lang w:val="en-GB"/>
        </w:rPr>
        <w:t xml:space="preserve"> 5 (a) – (c) for two different choices of max correlation and the three grid types: full-sphere, three-cut, and two-cuts. </w:t>
      </w:r>
    </w:p>
    <w:p w14:paraId="3C168E42" w14:textId="175EB132" w:rsidR="00072E5D" w:rsidRPr="00072E5D" w:rsidRDefault="00072E5D" w:rsidP="00072E5D">
      <w:pPr>
        <w:rPr>
          <w:lang w:val="en-GB"/>
        </w:rPr>
      </w:pPr>
      <w:r w:rsidRPr="00072E5D">
        <w:rPr>
          <w:noProof/>
          <w:lang w:val="en-GB"/>
        </w:rPr>
        <w:lastRenderedPageBreak/>
        <w:drawing>
          <wp:inline distT="0" distB="0" distL="0" distR="0" wp14:anchorId="5F923935" wp14:editId="0E02AACA">
            <wp:extent cx="4467225" cy="26955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467225" cy="2695575"/>
                    </a:xfrm>
                    <a:prstGeom prst="rect">
                      <a:avLst/>
                    </a:prstGeom>
                    <a:noFill/>
                    <a:ln>
                      <a:noFill/>
                    </a:ln>
                  </pic:spPr>
                </pic:pic>
              </a:graphicData>
            </a:graphic>
          </wp:inline>
        </w:drawing>
      </w:r>
    </w:p>
    <w:p w14:paraId="485C3B17" w14:textId="5E59C10E" w:rsidR="00072E5D" w:rsidRPr="00072E5D" w:rsidRDefault="00072E5D" w:rsidP="00072E5D">
      <w:pPr>
        <w:rPr>
          <w:lang w:val="en-GB"/>
        </w:rPr>
      </w:pPr>
      <w:r w:rsidRPr="00072E5D">
        <w:rPr>
          <w:b/>
          <w:lang w:val="en-GB"/>
        </w:rPr>
        <w:t>Figure 4:</w:t>
      </w:r>
      <w:r w:rsidRPr="00072E5D">
        <w:rPr>
          <w:lang w:val="en-GB"/>
        </w:rPr>
        <w:t xml:space="preserve"> Determin</w:t>
      </w:r>
      <w:r w:rsidR="00053342">
        <w:rPr>
          <w:lang w:val="en-GB"/>
        </w:rPr>
        <w:t>ation of</w:t>
      </w:r>
      <w:r w:rsidRPr="00072E5D">
        <w:rPr>
          <w:lang w:val="en-GB"/>
        </w:rPr>
        <w:t xml:space="preserve"> ΔTRP based on the 5</w:t>
      </w:r>
      <w:r w:rsidRPr="00072E5D">
        <w:rPr>
          <w:vertAlign w:val="superscript"/>
          <w:lang w:val="en-GB"/>
        </w:rPr>
        <w:t>th</w:t>
      </w:r>
      <w:r w:rsidRPr="00072E5D">
        <w:rPr>
          <w:lang w:val="en-GB"/>
        </w:rPr>
        <w:t xml:space="preserve"> percentile values.</w:t>
      </w:r>
    </w:p>
    <w:p w14:paraId="1553B547" w14:textId="77777777" w:rsidR="00072E5D" w:rsidRPr="00072E5D" w:rsidRDefault="00072E5D" w:rsidP="00072E5D">
      <w:pPr>
        <w:rPr>
          <w:lang w:val="en-GB"/>
        </w:rPr>
      </w:pPr>
    </w:p>
    <w:p w14:paraId="475E290D" w14:textId="0FE0F318" w:rsidR="00072E5D" w:rsidRPr="00072E5D" w:rsidRDefault="00072E5D" w:rsidP="00072E5D">
      <w:pPr>
        <w:rPr>
          <w:lang w:val="en-GB"/>
        </w:rPr>
      </w:pPr>
      <w:r w:rsidRPr="00072E5D">
        <w:rPr>
          <w:noProof/>
          <w:lang w:val="en-GB"/>
        </w:rPr>
        <w:lastRenderedPageBreak/>
        <w:drawing>
          <wp:inline distT="0" distB="0" distL="0" distR="0" wp14:anchorId="07A99454" wp14:editId="2A82E094">
            <wp:extent cx="3505200" cy="703675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07144" cy="7040657"/>
                    </a:xfrm>
                    <a:prstGeom prst="rect">
                      <a:avLst/>
                    </a:prstGeom>
                    <a:noFill/>
                    <a:ln>
                      <a:noFill/>
                    </a:ln>
                  </pic:spPr>
                </pic:pic>
              </a:graphicData>
            </a:graphic>
          </wp:inline>
        </w:drawing>
      </w:r>
    </w:p>
    <w:p w14:paraId="0259C3C6" w14:textId="3CA78DDD" w:rsidR="00072E5D" w:rsidRPr="00072E5D" w:rsidRDefault="00072E5D" w:rsidP="00072E5D">
      <w:pPr>
        <w:rPr>
          <w:lang w:val="en-GB"/>
        </w:rPr>
      </w:pPr>
      <w:r w:rsidRPr="00072E5D">
        <w:rPr>
          <w:b/>
          <w:lang w:val="en-GB"/>
        </w:rPr>
        <w:t>Figure 5:</w:t>
      </w:r>
      <w:r w:rsidRPr="00072E5D">
        <w:rPr>
          <w:lang w:val="en-GB"/>
        </w:rPr>
        <w:t xml:space="preserve"> </w:t>
      </w:r>
      <w:bookmarkStart w:id="3" w:name="_Hlk510809336"/>
      <w:r w:rsidRPr="00072E5D">
        <w:rPr>
          <w:lang w:val="en-GB"/>
        </w:rPr>
        <w:t>ΔTRP</w:t>
      </w:r>
      <w:bookmarkEnd w:id="3"/>
      <w:r w:rsidRPr="00072E5D">
        <w:rPr>
          <w:lang w:val="en-GB"/>
        </w:rPr>
        <w:t xml:space="preserve"> values for three different electrical sizes, 10, 15 and 20, respectively. For comparison two maximum correlation values are used. Upper bounds for actual use in TRP assessment, are depicted as dashed lines for the three grid types: </w:t>
      </w:r>
      <w:r w:rsidR="00E24238">
        <w:rPr>
          <w:lang w:val="en-GB"/>
        </w:rPr>
        <w:t>t</w:t>
      </w:r>
      <w:r w:rsidRPr="00072E5D">
        <w:rPr>
          <w:lang w:val="en-GB"/>
        </w:rPr>
        <w:t xml:space="preserve">wo cuts, </w:t>
      </w:r>
      <w:r w:rsidR="00E24238">
        <w:rPr>
          <w:lang w:val="en-GB"/>
        </w:rPr>
        <w:t>t</w:t>
      </w:r>
      <w:r w:rsidRPr="00072E5D">
        <w:rPr>
          <w:lang w:val="en-GB"/>
        </w:rPr>
        <w:t>hree cuts, and full sphere, respectively.</w:t>
      </w:r>
    </w:p>
    <w:p w14:paraId="4829D4A2" w14:textId="19D444B3" w:rsidR="00CA75F7" w:rsidRPr="00CA75F7" w:rsidRDefault="00CA75F7" w:rsidP="00CA75F7">
      <w:pPr>
        <w:rPr>
          <w:lang w:val="en-GB"/>
        </w:rPr>
      </w:pPr>
      <w:r>
        <w:rPr>
          <w:lang w:val="en-GB"/>
        </w:rPr>
        <w:lastRenderedPageBreak/>
        <w:t xml:space="preserve">Calculated </w:t>
      </w:r>
      <w:r w:rsidRPr="00CA75F7">
        <w:rPr>
          <w:lang w:val="en-GB"/>
        </w:rPr>
        <w:t>ΔTRP values</w:t>
      </w:r>
      <w:r>
        <w:rPr>
          <w:lang w:val="en-GB"/>
        </w:rPr>
        <w:t xml:space="preserve"> are</w:t>
      </w:r>
      <w:r w:rsidRPr="00CA75F7">
        <w:rPr>
          <w:lang w:val="en-GB"/>
        </w:rPr>
        <w:t xml:space="preserve"> enabling use of sparse sampling and two</w:t>
      </w:r>
      <w:r>
        <w:rPr>
          <w:lang w:val="en-GB"/>
        </w:rPr>
        <w:t>-</w:t>
      </w:r>
      <w:r w:rsidRPr="00CA75F7">
        <w:rPr>
          <w:lang w:val="en-GB"/>
        </w:rPr>
        <w:t xml:space="preserve"> or three</w:t>
      </w:r>
      <w:r>
        <w:rPr>
          <w:lang w:val="en-GB"/>
        </w:rPr>
        <w:t>-</w:t>
      </w:r>
      <w:r w:rsidRPr="00CA75F7">
        <w:rPr>
          <w:lang w:val="en-GB"/>
        </w:rPr>
        <w:t>cuts</w:t>
      </w:r>
      <w:r>
        <w:rPr>
          <w:lang w:val="en-GB"/>
        </w:rPr>
        <w:t xml:space="preserve"> grids</w:t>
      </w:r>
      <w:r w:rsidRPr="00CA75F7">
        <w:rPr>
          <w:lang w:val="en-GB"/>
        </w:rPr>
        <w:t xml:space="preserve"> to evaluate TRP. A 95% confidence value on TRP is assessed by applying</w:t>
      </w:r>
      <w:r>
        <w:rPr>
          <w:lang w:val="en-GB"/>
        </w:rPr>
        <w:t>:</w:t>
      </w:r>
    </w:p>
    <w:p w14:paraId="07CF1C4D" w14:textId="44EAE75B" w:rsidR="00CA75F7" w:rsidRPr="00CA75F7" w:rsidRDefault="00CA75F7" w:rsidP="00CA75F7">
      <w:pPr>
        <w:rPr>
          <w:lang w:val="en-GB"/>
        </w:rPr>
      </w:pPr>
      <w:r w:rsidRPr="00CA75F7">
        <w:rPr>
          <w:noProof/>
          <w:lang w:val="en-GB"/>
        </w:rPr>
        <w:drawing>
          <wp:inline distT="0" distB="0" distL="0" distR="0" wp14:anchorId="052A707B" wp14:editId="7FBE5C61">
            <wp:extent cx="2171700" cy="1428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71700" cy="142875"/>
                    </a:xfrm>
                    <a:prstGeom prst="rect">
                      <a:avLst/>
                    </a:prstGeom>
                    <a:noFill/>
                    <a:ln>
                      <a:noFill/>
                    </a:ln>
                  </pic:spPr>
                </pic:pic>
              </a:graphicData>
            </a:graphic>
          </wp:inline>
        </w:drawing>
      </w:r>
    </w:p>
    <w:p w14:paraId="2F7D7A75" w14:textId="5E02CCB6" w:rsidR="00CA75F7" w:rsidRPr="00CA75F7" w:rsidRDefault="00CA75F7" w:rsidP="00CA75F7">
      <w:pPr>
        <w:rPr>
          <w:lang w:val="en-GB"/>
        </w:rPr>
      </w:pPr>
      <w:r w:rsidRPr="00CA75F7">
        <w:rPr>
          <w:lang w:val="en-GB"/>
        </w:rPr>
        <w:t xml:space="preserve">ΔTRP depends on grid type: full sphere, three cuts, or two cuts, and </w:t>
      </w:r>
      <w:r>
        <w:rPr>
          <w:lang w:val="en-GB"/>
        </w:rPr>
        <w:t>the</w:t>
      </w:r>
      <w:r w:rsidRPr="00CA75F7">
        <w:rPr>
          <w:lang w:val="en-GB"/>
        </w:rPr>
        <w:t xml:space="preserve"> selected sparsity factor SF. The final parametrization of ΔTRP should be an upper bound to the result of the statistical approach and the assumed level of correlation </w:t>
      </w:r>
      <w:r>
        <w:rPr>
          <w:lang w:val="en-GB"/>
        </w:rPr>
        <w:t xml:space="preserve">between emission sources </w:t>
      </w:r>
      <w:r w:rsidRPr="00CA75F7">
        <w:rPr>
          <w:lang w:val="en-GB"/>
        </w:rPr>
        <w:t>is open for discussion.</w:t>
      </w:r>
    </w:p>
    <w:p w14:paraId="7BCFB517" w14:textId="5FEA3C76" w:rsidR="00CA75F7" w:rsidRPr="00CA75F7" w:rsidRDefault="00CA75F7" w:rsidP="00CA75F7">
      <w:pPr>
        <w:rPr>
          <w:lang w:val="en-GB"/>
        </w:rPr>
      </w:pPr>
      <w:r w:rsidRPr="001462B4">
        <w:rPr>
          <w:highlight w:val="yellow"/>
          <w:lang w:val="en-GB"/>
        </w:rPr>
        <w:t xml:space="preserve">Note: </w:t>
      </w:r>
      <w:proofErr w:type="spellStart"/>
      <w:r w:rsidRPr="001462B4">
        <w:rPr>
          <w:highlight w:val="yellow"/>
          <w:lang w:val="en-GB"/>
        </w:rPr>
        <w:t>Matlab</w:t>
      </w:r>
      <w:proofErr w:type="spellEnd"/>
      <w:r w:rsidRPr="001462B4">
        <w:rPr>
          <w:highlight w:val="yellow"/>
          <w:lang w:val="en-GB"/>
        </w:rPr>
        <w:t xml:space="preserve"> code for calculation of ΔTRP will soon be available on </w:t>
      </w:r>
      <w:proofErr w:type="spellStart"/>
      <w:r w:rsidRPr="001462B4">
        <w:rPr>
          <w:highlight w:val="yellow"/>
          <w:lang w:val="en-GB"/>
        </w:rPr>
        <w:t>Mathworks</w:t>
      </w:r>
      <w:proofErr w:type="spellEnd"/>
      <w:r w:rsidR="001462B4">
        <w:rPr>
          <w:highlight w:val="yellow"/>
          <w:lang w:val="en-GB"/>
        </w:rPr>
        <w:t xml:space="preserve"> and reference will be included here</w:t>
      </w:r>
      <w:r w:rsidRPr="001462B4">
        <w:rPr>
          <w:highlight w:val="yellow"/>
          <w:lang w:val="en-GB"/>
        </w:rPr>
        <w:t>.</w:t>
      </w:r>
    </w:p>
    <w:p w14:paraId="15DD843A" w14:textId="77777777" w:rsidR="0058379A" w:rsidRDefault="0058379A" w:rsidP="0058379A">
      <w:pPr>
        <w:rPr>
          <w:lang w:val="en-GB"/>
        </w:rPr>
      </w:pPr>
    </w:p>
    <w:p w14:paraId="6E26723E" w14:textId="2F047611" w:rsidR="0058379A" w:rsidRDefault="0058379A" w:rsidP="0058379A">
      <w:pPr>
        <w:pStyle w:val="Heading3"/>
      </w:pPr>
      <w:proofErr w:type="spellStart"/>
      <w:r>
        <w:t>M.x.y</w:t>
      </w:r>
      <w:proofErr w:type="spellEnd"/>
      <w:r>
        <w:t xml:space="preserve"> Pre-scan to identify significant emissions</w:t>
      </w:r>
    </w:p>
    <w:p w14:paraId="7626591E" w14:textId="77777777" w:rsidR="0058379A" w:rsidRDefault="0058379A" w:rsidP="0058379A">
      <w:pPr>
        <w:rPr>
          <w:lang w:val="en-GB"/>
        </w:rPr>
      </w:pPr>
    </w:p>
    <w:p w14:paraId="632F8D51" w14:textId="0F28CD27" w:rsidR="0058379A" w:rsidRPr="0058379A" w:rsidRDefault="0058379A" w:rsidP="0058379A">
      <w:pPr>
        <w:rPr>
          <w:lang w:val="en-GB"/>
        </w:rPr>
      </w:pPr>
      <w:r w:rsidRPr="0058379A">
        <w:rPr>
          <w:lang w:val="en-GB"/>
        </w:rPr>
        <w:t xml:space="preserve">A pre-scan is a sufficiently accurate measurement of emissions in the entire frequency band of interest, e.g. 30MHz to </w:t>
      </w:r>
      <w:proofErr w:type="spellStart"/>
      <w:r w:rsidRPr="0058379A">
        <w:rPr>
          <w:highlight w:val="yellow"/>
          <w:lang w:val="en-GB"/>
        </w:rPr>
        <w:t>X</w:t>
      </w:r>
      <w:r w:rsidRPr="0058379A">
        <w:rPr>
          <w:highlight w:val="yellow"/>
          <w:vertAlign w:val="superscript"/>
          <w:lang w:val="en-GB"/>
        </w:rPr>
        <w:t>th</w:t>
      </w:r>
      <w:proofErr w:type="spellEnd"/>
      <w:r w:rsidRPr="0058379A">
        <w:rPr>
          <w:highlight w:val="yellow"/>
          <w:lang w:val="en-GB"/>
        </w:rPr>
        <w:t xml:space="preserve"> harmonic</w:t>
      </w:r>
      <w:r w:rsidRPr="0058379A">
        <w:rPr>
          <w:lang w:val="en-GB"/>
        </w:rPr>
        <w:t xml:space="preserve"> excluding in-band frequencies for FR2. The data from the pre-scan is used to identify </w:t>
      </w:r>
      <w:r>
        <w:rPr>
          <w:lang w:val="en-GB"/>
        </w:rPr>
        <w:t xml:space="preserve">the </w:t>
      </w:r>
      <w:r w:rsidRPr="0058379A">
        <w:rPr>
          <w:lang w:val="en-GB"/>
        </w:rPr>
        <w:t xml:space="preserve">emissions </w:t>
      </w:r>
      <w:r>
        <w:rPr>
          <w:lang w:val="en-GB"/>
        </w:rPr>
        <w:t xml:space="preserve">that are relevant and must be taken for </w:t>
      </w:r>
      <w:r w:rsidRPr="0058379A">
        <w:rPr>
          <w:lang w:val="en-GB"/>
        </w:rPr>
        <w:t xml:space="preserve">further </w:t>
      </w:r>
      <w:r>
        <w:rPr>
          <w:lang w:val="en-GB"/>
        </w:rPr>
        <w:t>investigation (e.g. TRP evaluation). Em</w:t>
      </w:r>
      <w:r w:rsidRPr="0058379A">
        <w:rPr>
          <w:lang w:val="en-GB"/>
        </w:rPr>
        <w:t>issions</w:t>
      </w:r>
      <w:r>
        <w:rPr>
          <w:lang w:val="en-GB"/>
        </w:rPr>
        <w:t xml:space="preserve"> showing significantly low levels compared to the limit are can be excluded</w:t>
      </w:r>
      <w:r w:rsidRPr="0058379A">
        <w:rPr>
          <w:lang w:val="en-GB"/>
        </w:rPr>
        <w:t xml:space="preserve"> from further examination</w:t>
      </w:r>
      <w:r>
        <w:rPr>
          <w:lang w:val="en-GB"/>
        </w:rPr>
        <w:t>, saving time.</w:t>
      </w:r>
    </w:p>
    <w:p w14:paraId="5B29D234" w14:textId="4018ADCF" w:rsidR="0058379A" w:rsidRPr="0058379A" w:rsidRDefault="0058379A" w:rsidP="0058379A">
      <w:pPr>
        <w:rPr>
          <w:lang w:val="en-GB"/>
        </w:rPr>
      </w:pPr>
      <w:r w:rsidRPr="0058379A">
        <w:rPr>
          <w:lang w:val="en-GB"/>
        </w:rPr>
        <w:t xml:space="preserve">For spurious emissions it will be hard to find emission peak directions. </w:t>
      </w:r>
      <w:r>
        <w:rPr>
          <w:lang w:val="en-GB"/>
        </w:rPr>
        <w:t>E</w:t>
      </w:r>
      <w:r w:rsidRPr="0058379A">
        <w:rPr>
          <w:lang w:val="en-GB"/>
        </w:rPr>
        <w:t>stimat</w:t>
      </w:r>
      <w:r>
        <w:rPr>
          <w:lang w:val="en-GB"/>
        </w:rPr>
        <w:t>ing</w:t>
      </w:r>
      <w:r w:rsidRPr="0058379A">
        <w:rPr>
          <w:lang w:val="en-GB"/>
        </w:rPr>
        <w:t xml:space="preserve"> the TRP of the emissions by using sparse sampling and adding a pre-calculated systematic correction</w:t>
      </w:r>
      <w:r w:rsidR="00C40D78">
        <w:rPr>
          <w:lang w:val="en-GB"/>
        </w:rPr>
        <w:t xml:space="preserve"> was already described</w:t>
      </w:r>
      <w:r w:rsidRPr="0058379A">
        <w:rPr>
          <w:lang w:val="en-GB"/>
        </w:rPr>
        <w:t xml:space="preserve">. The systematic correction factor </w:t>
      </w:r>
      <w:r w:rsidR="00C40D78" w:rsidRPr="00CA75F7">
        <w:rPr>
          <w:lang w:val="en-GB"/>
        </w:rPr>
        <w:t>ΔTRP</w:t>
      </w:r>
      <w:r w:rsidR="00C40D78" w:rsidRPr="0058379A">
        <w:rPr>
          <w:lang w:val="en-GB"/>
        </w:rPr>
        <w:t xml:space="preserve"> </w:t>
      </w:r>
      <w:r w:rsidRPr="0058379A">
        <w:rPr>
          <w:lang w:val="en-GB"/>
        </w:rPr>
        <w:t xml:space="preserve">is large for sparser grids and low for denser grids. Note that </w:t>
      </w:r>
      <w:r w:rsidR="00C40D78">
        <w:rPr>
          <w:lang w:val="en-GB"/>
        </w:rPr>
        <w:t xml:space="preserve">a pre-scan </w:t>
      </w:r>
      <w:r w:rsidRPr="0058379A">
        <w:rPr>
          <w:lang w:val="en-GB"/>
        </w:rPr>
        <w:t xml:space="preserve">method </w:t>
      </w:r>
      <w:r w:rsidR="00C40D78">
        <w:rPr>
          <w:lang w:val="en-GB"/>
        </w:rPr>
        <w:t>for spurious emissions should be</w:t>
      </w:r>
      <w:r w:rsidRPr="0058379A">
        <w:rPr>
          <w:lang w:val="en-GB"/>
        </w:rPr>
        <w:t xml:space="preserve"> designed </w:t>
      </w:r>
      <w:r w:rsidR="00C40D78">
        <w:rPr>
          <w:lang w:val="en-GB"/>
        </w:rPr>
        <w:t>to be fast and accurate enough, while</w:t>
      </w:r>
      <w:r w:rsidRPr="0058379A">
        <w:rPr>
          <w:lang w:val="en-GB"/>
        </w:rPr>
        <w:t xml:space="preserve"> not requir</w:t>
      </w:r>
      <w:r w:rsidR="00C40D78">
        <w:rPr>
          <w:lang w:val="en-GB"/>
        </w:rPr>
        <w:t>ing</w:t>
      </w:r>
      <w:r w:rsidRPr="0058379A">
        <w:rPr>
          <w:lang w:val="en-GB"/>
        </w:rPr>
        <w:t xml:space="preserve"> the peaks to be found. Therefore, it is proposed to use the </w:t>
      </w:r>
      <w:proofErr w:type="gramStart"/>
      <w:r w:rsidRPr="0058379A">
        <w:rPr>
          <w:lang w:val="en-GB"/>
        </w:rPr>
        <w:t>most sparse</w:t>
      </w:r>
      <w:proofErr w:type="gramEnd"/>
      <w:r w:rsidRPr="0058379A">
        <w:rPr>
          <w:lang w:val="en-GB"/>
        </w:rPr>
        <w:t xml:space="preserve"> grid of the method, i.e. a two-cut 15 degree grid, as a pre-scan. The exclusion rule is then to estimate the TRP by using the data at the grid points and apply the systematic correction factor. This method is also described in detail in [</w:t>
      </w:r>
      <w:r w:rsidR="00C40D78">
        <w:rPr>
          <w:lang w:val="en-GB"/>
        </w:rPr>
        <w:t>6</w:t>
      </w:r>
      <w:r w:rsidRPr="0058379A">
        <w:rPr>
          <w:lang w:val="en-GB"/>
        </w:rPr>
        <w:t>].</w:t>
      </w:r>
    </w:p>
    <w:p w14:paraId="6E72073B" w14:textId="415668FB" w:rsidR="0058379A" w:rsidRPr="0058379A" w:rsidRDefault="0058379A" w:rsidP="0058379A">
      <w:pPr>
        <w:rPr>
          <w:lang w:val="en-GB"/>
        </w:rPr>
      </w:pPr>
      <w:proofErr w:type="gramStart"/>
      <w:r w:rsidRPr="0058379A">
        <w:rPr>
          <w:lang w:val="en-GB"/>
        </w:rPr>
        <w:t>In order to</w:t>
      </w:r>
      <w:proofErr w:type="gramEnd"/>
      <w:r w:rsidRPr="0058379A">
        <w:rPr>
          <w:lang w:val="en-GB"/>
        </w:rPr>
        <w:t xml:space="preserve"> relax sampling requirements of correlated radio-related emissions, e.g. at harmonic frequencies</w:t>
      </w:r>
      <w:r w:rsidR="00C40D78">
        <w:rPr>
          <w:lang w:val="en-GB"/>
        </w:rPr>
        <w:t>,</w:t>
      </w:r>
      <w:r w:rsidRPr="0058379A">
        <w:rPr>
          <w:lang w:val="en-GB"/>
        </w:rPr>
        <w:t xml:space="preserve"> a beam sweeping test function should be used.</w:t>
      </w:r>
    </w:p>
    <w:p w14:paraId="278C4351" w14:textId="0E78EFA1" w:rsidR="0058379A" w:rsidRPr="0058379A" w:rsidRDefault="0058379A" w:rsidP="0058379A">
      <w:pPr>
        <w:rPr>
          <w:lang w:val="en-GB"/>
        </w:rPr>
      </w:pPr>
      <w:r w:rsidRPr="0058379A">
        <w:rPr>
          <w:lang w:val="en-GB"/>
        </w:rPr>
        <w:t>In [</w:t>
      </w:r>
      <w:proofErr w:type="spellStart"/>
      <w:proofErr w:type="gramStart"/>
      <w:r w:rsidR="00C40D78">
        <w:rPr>
          <w:lang w:val="en-GB"/>
        </w:rPr>
        <w:t>a</w:t>
      </w:r>
      <w:r w:rsidRPr="0058379A">
        <w:rPr>
          <w:lang w:val="en-GB"/>
        </w:rPr>
        <w:t>,</w:t>
      </w:r>
      <w:r w:rsidR="00C40D78">
        <w:rPr>
          <w:lang w:val="en-GB"/>
        </w:rPr>
        <w:t>b</w:t>
      </w:r>
      <w:proofErr w:type="gramEnd"/>
      <w:r w:rsidRPr="0058379A">
        <w:rPr>
          <w:lang w:val="en-GB"/>
        </w:rPr>
        <w:t>,</w:t>
      </w:r>
      <w:r w:rsidR="00C40D78">
        <w:rPr>
          <w:lang w:val="en-GB"/>
        </w:rPr>
        <w:t>c</w:t>
      </w:r>
      <w:proofErr w:type="spellEnd"/>
      <w:r w:rsidRPr="0058379A">
        <w:rPr>
          <w:lang w:val="en-GB"/>
        </w:rPr>
        <w:t xml:space="preserve">] measurements on a cylinder are proposed. The horizontal angular step is described in terms of the </w:t>
      </w:r>
      <w:proofErr w:type="spellStart"/>
      <w:r w:rsidRPr="0058379A">
        <w:rPr>
          <w:lang w:val="en-GB"/>
        </w:rPr>
        <w:t>beamwidth</w:t>
      </w:r>
      <w:proofErr w:type="spellEnd"/>
      <w:r w:rsidRPr="0058379A">
        <w:rPr>
          <w:lang w:val="en-GB"/>
        </w:rPr>
        <w:t xml:space="preserve"> of the measurement antenna and the vertical scan is used to find the peak. The exclusion rule is here based on finding the peak EIRP which in practice is hard to find for spurious emissions. Moreover, maintaining reasonable uncertainty level due to missing the peak could be difficult. Thus</w:t>
      </w:r>
      <w:r w:rsidR="00C40D78">
        <w:rPr>
          <w:lang w:val="en-GB"/>
        </w:rPr>
        <w:t>,</w:t>
      </w:r>
      <w:r w:rsidRPr="0058379A">
        <w:rPr>
          <w:lang w:val="en-GB"/>
        </w:rPr>
        <w:t xml:space="preserve"> the method can apply to in-band but is not readily adaptable for spurious emissions.</w:t>
      </w:r>
    </w:p>
    <w:p w14:paraId="3F874F6E" w14:textId="375E4D6E" w:rsidR="0058379A" w:rsidRPr="0058379A" w:rsidRDefault="0058379A" w:rsidP="0058379A">
      <w:pPr>
        <w:rPr>
          <w:lang w:val="en-GB"/>
        </w:rPr>
      </w:pPr>
      <w:r w:rsidRPr="0058379A">
        <w:rPr>
          <w:lang w:val="en-GB"/>
        </w:rPr>
        <w:t>The choice of grid, a cylindrical, can be used in combination with the sparse grid method</w:t>
      </w:r>
      <w:r w:rsidR="00C40D78">
        <w:rPr>
          <w:lang w:val="en-GB"/>
        </w:rPr>
        <w:t xml:space="preserve"> proposed in this section</w:t>
      </w:r>
      <w:r w:rsidRPr="0058379A">
        <w:rPr>
          <w:lang w:val="en-GB"/>
        </w:rPr>
        <w:t xml:space="preserve"> and complemented with the method </w:t>
      </w:r>
      <w:r w:rsidRPr="00C40D78">
        <w:rPr>
          <w:highlight w:val="yellow"/>
          <w:lang w:val="en-GB"/>
        </w:rPr>
        <w:t>[x]</w:t>
      </w:r>
      <w:r w:rsidRPr="0058379A">
        <w:rPr>
          <w:lang w:val="en-GB"/>
        </w:rPr>
        <w:t xml:space="preserve"> to calculate </w:t>
      </w:r>
      <w:r w:rsidR="00C40D78" w:rsidRPr="00072E5D">
        <w:rPr>
          <w:lang w:val="en-GB"/>
        </w:rPr>
        <w:t>ΔTRP</w:t>
      </w:r>
      <w:r w:rsidRPr="0058379A">
        <w:rPr>
          <w:lang w:val="en-GB"/>
        </w:rPr>
        <w:t xml:space="preserve">. One advantage with this approach is that the angular and vertical step are </w:t>
      </w:r>
      <w:r w:rsidR="00C40D78" w:rsidRPr="0058379A">
        <w:rPr>
          <w:lang w:val="en-GB"/>
        </w:rPr>
        <w:t>fixed,</w:t>
      </w:r>
      <w:r w:rsidRPr="0058379A">
        <w:rPr>
          <w:lang w:val="en-GB"/>
        </w:rPr>
        <w:t xml:space="preserve"> and the systematic correction factor is pre-calculated. This allows for a fully automatic pre-scan that is not based on finding the peak direction.</w:t>
      </w:r>
    </w:p>
    <w:p w14:paraId="042D12BD" w14:textId="59214DFB" w:rsidR="0058379A" w:rsidRDefault="0058379A" w:rsidP="0058379A">
      <w:pPr>
        <w:rPr>
          <w:lang w:val="en-GB"/>
        </w:rPr>
      </w:pPr>
      <w:r w:rsidRPr="0058379A">
        <w:rPr>
          <w:lang w:val="en-GB"/>
        </w:rPr>
        <w:lastRenderedPageBreak/>
        <w:t xml:space="preserve">When performing the </w:t>
      </w:r>
      <w:proofErr w:type="gramStart"/>
      <w:r w:rsidRPr="0058379A">
        <w:rPr>
          <w:lang w:val="en-GB"/>
        </w:rPr>
        <w:t>pre-scan</w:t>
      </w:r>
      <w:proofErr w:type="gramEnd"/>
      <w:r w:rsidRPr="0058379A">
        <w:rPr>
          <w:lang w:val="en-GB"/>
        </w:rPr>
        <w:t xml:space="preserve"> the spectrum analyser frequency step and resolution bandwidth shall be adjusted to allow for a fast frequency sweep corresponding to a noise floor sufficiently lower than the TRP limit. Another important aspect is the possibility to automate the pre-scan. Yet another way to improve the pre-scan could be to allow for simultaneous angular sweep and frequency sweep.</w:t>
      </w:r>
    </w:p>
    <w:p w14:paraId="48F8F5E4" w14:textId="7F71F316" w:rsidR="00C40D78" w:rsidRPr="00E24238" w:rsidRDefault="00C40D78" w:rsidP="00C40D78">
      <w:pPr>
        <w:rPr>
          <w:sz w:val="20"/>
          <w:highlight w:val="yellow"/>
          <w:lang w:val="en-US"/>
        </w:rPr>
      </w:pPr>
      <w:r w:rsidRPr="00E24238">
        <w:rPr>
          <w:sz w:val="20"/>
          <w:highlight w:val="yellow"/>
          <w:lang w:val="en-US"/>
        </w:rPr>
        <w:t>[a] R4-1803009 “On OTA Pre-scanning methods for spurious measurements of NR BS type 2-O” Nokia, Nokia Shanghai Bell</w:t>
      </w:r>
    </w:p>
    <w:p w14:paraId="266F5798" w14:textId="56131A58" w:rsidR="00C40D78" w:rsidRPr="00E24238" w:rsidRDefault="00C40D78" w:rsidP="00C40D78">
      <w:pPr>
        <w:rPr>
          <w:sz w:val="20"/>
          <w:highlight w:val="yellow"/>
          <w:lang w:val="en-US"/>
        </w:rPr>
      </w:pPr>
      <w:r w:rsidRPr="00E24238">
        <w:rPr>
          <w:sz w:val="20"/>
          <w:highlight w:val="yellow"/>
          <w:lang w:val="en-US"/>
        </w:rPr>
        <w:t>[b] R4-1713796 “Spurious emission measurement procedures for NR BS type 2-O” Nokia, Nokia Shanghai Bell</w:t>
      </w:r>
    </w:p>
    <w:p w14:paraId="2425E9BF" w14:textId="69A0BDE8" w:rsidR="00C40D78" w:rsidRPr="00E24238" w:rsidRDefault="00C40D78" w:rsidP="00C40D78">
      <w:pPr>
        <w:rPr>
          <w:sz w:val="20"/>
          <w:lang w:val="en-US"/>
        </w:rPr>
      </w:pPr>
      <w:r w:rsidRPr="00E24238">
        <w:rPr>
          <w:sz w:val="20"/>
          <w:highlight w:val="yellow"/>
          <w:lang w:val="en-US"/>
        </w:rPr>
        <w:t>[c] R4-1800912 “On OTA methods for spurious measurements of NR BS type 2-O” Nokia, Nokia Shanghai Bell</w:t>
      </w:r>
    </w:p>
    <w:p w14:paraId="0D909C2A" w14:textId="0020A408" w:rsidR="003F6DB8" w:rsidRDefault="00665395" w:rsidP="003F6DB8">
      <w:pPr>
        <w:pStyle w:val="Heading3"/>
      </w:pPr>
      <w:proofErr w:type="spellStart"/>
      <w:r>
        <w:t>M</w:t>
      </w:r>
      <w:r w:rsidR="003F6DB8">
        <w:t>.x.y</w:t>
      </w:r>
      <w:proofErr w:type="spellEnd"/>
      <w:r w:rsidR="003F6DB8">
        <w:t xml:space="preserve"> </w:t>
      </w:r>
      <w:r w:rsidR="00E24238">
        <w:t>General t</w:t>
      </w:r>
      <w:r w:rsidR="003F6DB8">
        <w:t>est procedure</w:t>
      </w:r>
    </w:p>
    <w:p w14:paraId="10C5C12D" w14:textId="77777777" w:rsidR="003F6DB8" w:rsidRDefault="003F6DB8">
      <w:pPr>
        <w:pStyle w:val="BodyText"/>
        <w:rPr>
          <w:rFonts w:ascii="Calibri" w:eastAsia="MS Mincho" w:hAnsi="Calibri"/>
          <w:sz w:val="22"/>
          <w:szCs w:val="22"/>
          <w:lang w:val="en-CA"/>
        </w:rPr>
      </w:pPr>
    </w:p>
    <w:p w14:paraId="1F79F210" w14:textId="1663E145" w:rsidR="00D30E94" w:rsidRDefault="00A506A5">
      <w:pPr>
        <w:pStyle w:val="BodyText"/>
        <w:rPr>
          <w:rFonts w:ascii="Calibri" w:eastAsia="MS Mincho" w:hAnsi="Calibri"/>
          <w:sz w:val="22"/>
          <w:szCs w:val="22"/>
          <w:lang w:val="en-CA"/>
        </w:rPr>
      </w:pPr>
      <w:r>
        <w:rPr>
          <w:rFonts w:ascii="Calibri" w:eastAsia="MS Mincho" w:hAnsi="Calibri"/>
          <w:sz w:val="22"/>
          <w:szCs w:val="22"/>
          <w:lang w:val="en-CA"/>
        </w:rPr>
        <w:t>The measurement procedure is the following</w:t>
      </w:r>
    </w:p>
    <w:p w14:paraId="24480CCE" w14:textId="36CE2544" w:rsidR="00D30E94" w:rsidRDefault="00A506A5">
      <w:pPr>
        <w:pStyle w:val="B-Body"/>
        <w:numPr>
          <w:ilvl w:val="0"/>
          <w:numId w:val="2"/>
        </w:numPr>
        <w:jc w:val="both"/>
      </w:pPr>
      <w:r>
        <w:t xml:space="preserve">Calculate reference </w:t>
      </w:r>
      <w:r w:rsidR="001462B4">
        <w:t xml:space="preserve">angular </w:t>
      </w:r>
      <w:r>
        <w:t>steps</w:t>
      </w:r>
      <w:r w:rsidR="001462B4">
        <w:t xml:space="preserve"> </w:t>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oMath>
      <w:r>
        <w:t xml:space="preserve"> </w:t>
      </w:r>
      <w:r w:rsidR="001462B4">
        <w:t xml:space="preserve">and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w:rPr>
            <w:rFonts w:ascii="Cambria Math" w:hAnsi="Cambria Math"/>
          </w:rPr>
          <m:t xml:space="preserve"> </m:t>
        </m:r>
      </m:oMath>
      <w:r>
        <w:t>using (1.</w:t>
      </w:r>
      <w:r w:rsidR="005D513B">
        <w:t>10</w:t>
      </w:r>
      <w:r>
        <w:t>)</w:t>
      </w:r>
      <w:r w:rsidR="001462B4">
        <w:t>.</w:t>
      </w:r>
    </w:p>
    <w:p w14:paraId="7B200F21" w14:textId="41DD6788" w:rsidR="00D30E94" w:rsidRDefault="00A506A5">
      <w:pPr>
        <w:pStyle w:val="B-Body"/>
        <w:numPr>
          <w:ilvl w:val="0"/>
          <w:numId w:val="2"/>
        </w:numPr>
        <w:jc w:val="both"/>
      </w:pPr>
      <w:r>
        <w:t xml:space="preserve">Select appropriate measurement antenna and test distance, see </w:t>
      </w:r>
      <w:proofErr w:type="spellStart"/>
      <w:r w:rsidR="00CD223A" w:rsidRPr="00CD223A">
        <w:rPr>
          <w:highlight w:val="yellow"/>
        </w:rPr>
        <w:t>Mxy</w:t>
      </w:r>
      <w:proofErr w:type="spellEnd"/>
      <w:r>
        <w:t>.</w:t>
      </w:r>
    </w:p>
    <w:p w14:paraId="17F14C18" w14:textId="77777777" w:rsidR="00D30E94" w:rsidRDefault="00A506A5">
      <w:pPr>
        <w:pStyle w:val="B-Body"/>
        <w:numPr>
          <w:ilvl w:val="0"/>
          <w:numId w:val="2"/>
        </w:numPr>
        <w:jc w:val="both"/>
      </w:pPr>
      <w:r>
        <w:t>For each emission frequency, select the grid type: full sphere or orthogonal cuts (see Appendix A, B)</w:t>
      </w:r>
    </w:p>
    <w:p w14:paraId="1F00E5CD" w14:textId="2A98EB6D" w:rsidR="00D30E94" w:rsidRDefault="00A506A5">
      <w:pPr>
        <w:pStyle w:val="B-Body"/>
        <w:numPr>
          <w:ilvl w:val="0"/>
          <w:numId w:val="2"/>
        </w:numPr>
        <w:jc w:val="both"/>
      </w:pPr>
      <w:r>
        <w:t xml:space="preserve">For each emission frequency, set the grid spatial sampling </w:t>
      </w:r>
      <w:r w:rsidRPr="001462B4">
        <w:t>step</w:t>
      </w:r>
      <w:r w:rsidR="001462B4" w:rsidRPr="001462B4">
        <w:t xml:space="preserve"> </w:t>
      </w:r>
      <m:oMath>
        <m:r>
          <m:rPr>
            <m:sty m:val="p"/>
          </m:rPr>
          <w:rPr>
            <w:rFonts w:ascii="Cambria Math" w:hAnsi="Cambria Math"/>
          </w:rPr>
          <m:t>Δ</m:t>
        </m:r>
        <m:r>
          <w:rPr>
            <w:rFonts w:ascii="Cambria Math" w:hAnsi="Cambria Math"/>
          </w:rPr>
          <m:t>θ</m:t>
        </m:r>
      </m:oMath>
      <w:r w:rsidR="001462B4" w:rsidRPr="001462B4">
        <w:t xml:space="preserve"> and </w:t>
      </w:r>
      <m:oMath>
        <m:r>
          <m:rPr>
            <m:sty m:val="p"/>
          </m:rPr>
          <w:rPr>
            <w:rFonts w:ascii="Cambria Math" w:hAnsi="Cambria Math"/>
          </w:rPr>
          <m:t>Δ</m:t>
        </m:r>
        <m:r>
          <w:rPr>
            <w:rFonts w:ascii="Cambria Math" w:hAnsi="Cambria Math"/>
          </w:rPr>
          <m:t>ϕ</m:t>
        </m:r>
      </m:oMath>
      <w:r w:rsidRPr="001462B4">
        <w:t>.</w:t>
      </w:r>
      <w:r>
        <w:t xml:space="preserve"> </w:t>
      </w:r>
    </w:p>
    <w:p w14:paraId="007C9BFB" w14:textId="77777777" w:rsidR="00D30E94" w:rsidRDefault="00A506A5">
      <w:pPr>
        <w:pStyle w:val="B-Body"/>
        <w:numPr>
          <w:ilvl w:val="1"/>
          <w:numId w:val="2"/>
        </w:numPr>
        <w:jc w:val="both"/>
      </w:pPr>
      <w:r>
        <w:t xml:space="preserve">If  </w:t>
      </w:r>
      <m:oMath>
        <m:r>
          <w:rPr>
            <w:rFonts w:ascii="Cambria Math" w:hAnsi="Cambria Math"/>
          </w:rPr>
          <m:t xml:space="preserve">D≤4λ </m:t>
        </m:r>
      </m:oMath>
      <w:r>
        <w:t xml:space="preserve">, or if </w:t>
      </w:r>
      <w:r w:rsidRPr="00835599">
        <w:rPr>
          <w:highlight w:val="yellow"/>
        </w:rPr>
        <w:t xml:space="preserve">beam sweeping is used, set </w:t>
      </w:r>
      <m:oMath>
        <m:r>
          <m:rPr>
            <m:sty m:val="p"/>
          </m:rPr>
          <w:rPr>
            <w:rFonts w:ascii="Cambria Math" w:hAnsi="Cambria Math"/>
            <w:highlight w:val="yellow"/>
          </w:rPr>
          <m:t>Δ</m:t>
        </m:r>
        <m:r>
          <w:rPr>
            <w:rFonts w:ascii="Cambria Math" w:hAnsi="Cambria Math"/>
            <w:highlight w:val="yellow"/>
          </w:rPr>
          <m:t>θ=</m:t>
        </m:r>
        <m:r>
          <m:rPr>
            <m:sty m:val="p"/>
          </m:rPr>
          <w:rPr>
            <w:rFonts w:ascii="Cambria Math" w:hAnsi="Cambria Math"/>
            <w:highlight w:val="yellow"/>
          </w:rPr>
          <m:t>Δ</m:t>
        </m:r>
        <m:r>
          <w:rPr>
            <w:rFonts w:ascii="Cambria Math" w:hAnsi="Cambria Math"/>
            <w:highlight w:val="yellow"/>
          </w:rPr>
          <m:t>ϕ=</m:t>
        </m:r>
        <m:sSup>
          <m:sSupPr>
            <m:ctrlPr>
              <w:rPr>
                <w:rFonts w:ascii="Cambria Math" w:hAnsi="Cambria Math"/>
                <w:highlight w:val="yellow"/>
              </w:rPr>
            </m:ctrlPr>
          </m:sSupPr>
          <m:e>
            <m:r>
              <w:rPr>
                <w:rFonts w:ascii="Cambria Math" w:hAnsi="Cambria Math"/>
                <w:highlight w:val="yellow"/>
              </w:rPr>
              <m:t>15</m:t>
            </m:r>
          </m:e>
          <m:sup>
            <m:r>
              <w:rPr>
                <w:rFonts w:ascii="Cambria Math" w:hAnsi="Cambria Math"/>
                <w:highlight w:val="yellow"/>
              </w:rPr>
              <m:t>∘</m:t>
            </m:r>
          </m:sup>
        </m:sSup>
      </m:oMath>
      <w:r>
        <w:t xml:space="preserve"> </w:t>
      </w:r>
    </w:p>
    <w:p w14:paraId="6F099974" w14:textId="77777777" w:rsidR="00D30E94" w:rsidRDefault="00A506A5">
      <w:pPr>
        <w:pStyle w:val="B-Body"/>
        <w:numPr>
          <w:ilvl w:val="1"/>
          <w:numId w:val="2"/>
        </w:numPr>
        <w:jc w:val="both"/>
      </w:pPr>
      <w:r>
        <w:t xml:space="preserve">If </w:t>
      </w:r>
      <m:oMath>
        <m:r>
          <w:rPr>
            <w:rFonts w:ascii="Cambria Math" w:hAnsi="Cambria Math"/>
          </w:rPr>
          <m:t xml:space="preserve">D&gt;4λ </m:t>
        </m:r>
      </m:oMath>
      <w:r>
        <w:t xml:space="preserve"> </w:t>
      </w:r>
    </w:p>
    <w:p w14:paraId="636CF9DE" w14:textId="57C73FE5" w:rsidR="00D30E94" w:rsidRDefault="00A506A5">
      <w:pPr>
        <w:pStyle w:val="B-Body"/>
        <w:numPr>
          <w:ilvl w:val="2"/>
          <w:numId w:val="2"/>
        </w:numPr>
        <w:jc w:val="both"/>
      </w:pPr>
      <w:r>
        <w:t xml:space="preserve">for TRP assessment with a margin, set </w:t>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w:rPr>
            <w:rFonts w:ascii="Cambria Math" w:hAnsi="Cambria Math"/>
          </w:rPr>
          <m:t>≤</m:t>
        </m:r>
        <m:r>
          <m:rPr>
            <m:sty m:val="p"/>
          </m:rPr>
          <w:rPr>
            <w:rFonts w:ascii="Cambria Math" w:hAnsi="Cambria Math"/>
          </w:rPr>
          <m:t>Δ</m:t>
        </m:r>
        <m:r>
          <w:rPr>
            <w:rFonts w:ascii="Cambria Math" w:hAnsi="Cambria Math"/>
          </w:rPr>
          <m:t>θ≤</m:t>
        </m:r>
        <m:sSup>
          <m:sSupPr>
            <m:ctrlPr>
              <w:rPr>
                <w:rFonts w:ascii="Cambria Math" w:hAnsi="Cambria Math"/>
              </w:rPr>
            </m:ctrlPr>
          </m:sSupPr>
          <m:e>
            <m:r>
              <w:rPr>
                <w:rFonts w:ascii="Cambria Math" w:hAnsi="Cambria Math"/>
              </w:rPr>
              <m:t>15</m:t>
            </m:r>
          </m:e>
          <m:sup>
            <m:r>
              <w:rPr>
                <w:rFonts w:ascii="Cambria Math" w:hAnsi="Cambria Math"/>
              </w:rPr>
              <m:t>∘</m:t>
            </m:r>
          </m:sup>
        </m:sSup>
      </m:oMath>
      <w:r>
        <w:t xml:space="preserve"> and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w:rPr>
            <w:rFonts w:ascii="Cambria Math" w:hAnsi="Cambria Math"/>
          </w:rPr>
          <m:t>≤</m:t>
        </m:r>
        <m:r>
          <m:rPr>
            <m:sty m:val="p"/>
          </m:rPr>
          <w:rPr>
            <w:rFonts w:ascii="Cambria Math" w:hAnsi="Cambria Math"/>
          </w:rPr>
          <m:t>Δ</m:t>
        </m:r>
        <m:r>
          <w:rPr>
            <w:rFonts w:ascii="Cambria Math" w:hAnsi="Cambria Math"/>
          </w:rPr>
          <m:t>ϕ≤</m:t>
        </m:r>
        <m:sSup>
          <m:sSupPr>
            <m:ctrlPr>
              <w:rPr>
                <w:rFonts w:ascii="Cambria Math" w:hAnsi="Cambria Math"/>
              </w:rPr>
            </m:ctrlPr>
          </m:sSupPr>
          <m:e>
            <m:r>
              <w:rPr>
                <w:rFonts w:ascii="Cambria Math" w:hAnsi="Cambria Math"/>
              </w:rPr>
              <m:t>15</m:t>
            </m:r>
          </m:e>
          <m:sup>
            <m:r>
              <w:rPr>
                <w:rFonts w:ascii="Cambria Math" w:hAnsi="Cambria Math"/>
              </w:rPr>
              <m:t>∘</m:t>
            </m:r>
          </m:sup>
        </m:sSup>
      </m:oMath>
      <w:r>
        <w:t xml:space="preserve">. Calculate the </w:t>
      </w:r>
      <w:r>
        <w:rPr>
          <w:u w:val="single"/>
        </w:rPr>
        <w:t>sparsity factor</w:t>
      </w:r>
      <w:r>
        <w:t xml:space="preserve"> (SF) using (1.11). When calculating reference </w:t>
      </w:r>
      <w:proofErr w:type="gramStart"/>
      <w:r>
        <w:t>steps</w:t>
      </w:r>
      <w:proofErr w:type="gramEnd"/>
      <w:r>
        <w:t xml:space="preserve"> the maximum frequency for the considered emission measurement shall be used.</w:t>
      </w:r>
    </w:p>
    <w:p w14:paraId="2CB5E64D" w14:textId="77777777" w:rsidR="00D30E94" w:rsidRDefault="00A506A5">
      <w:pPr>
        <w:pStyle w:val="B-Body"/>
        <w:numPr>
          <w:ilvl w:val="2"/>
          <w:numId w:val="2"/>
        </w:numPr>
        <w:jc w:val="both"/>
      </w:pPr>
      <w:r>
        <w:t xml:space="preserve">for error-free TRP assessment, set </w:t>
      </w:r>
      <m:oMath>
        <m:r>
          <m:rPr>
            <m:sty m:val="p"/>
          </m:rPr>
          <w:rPr>
            <w:rFonts w:ascii="Cambria Math" w:hAnsi="Cambria Math"/>
          </w:rPr>
          <m:t>Δ</m:t>
        </m:r>
        <m:r>
          <w:rPr>
            <w:rFonts w:ascii="Cambria Math" w:hAnsi="Cambria Math"/>
          </w:rPr>
          <m:t>θ≤</m:t>
        </m:r>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oMath>
      <w:r>
        <w:t xml:space="preserve"> and </w:t>
      </w:r>
      <m:oMath>
        <m:r>
          <m:rPr>
            <m:sty m:val="p"/>
          </m:rPr>
          <w:rPr>
            <w:rFonts w:ascii="Cambria Math" w:hAnsi="Cambria Math"/>
          </w:rPr>
          <m:t>Δ</m:t>
        </m:r>
        <m:r>
          <w:rPr>
            <w:rFonts w:ascii="Cambria Math" w:hAnsi="Cambria Math"/>
          </w:rPr>
          <m:t>ϕ≤</m:t>
        </m:r>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oMath>
      <w:r>
        <w:t xml:space="preserve">, corresponding to sparsity factor </w:t>
      </w:r>
      <m:oMath>
        <m:r>
          <m:rPr>
            <m:nor/>
          </m:rPr>
          <m:t>SF</m:t>
        </m:r>
        <m:r>
          <w:rPr>
            <w:rFonts w:ascii="Cambria Math" w:hAnsi="Cambria Math"/>
          </w:rPr>
          <m:t>=1</m:t>
        </m:r>
      </m:oMath>
      <w:r>
        <w:t>.</w:t>
      </w:r>
    </w:p>
    <w:p w14:paraId="7B4A19D1" w14:textId="77777777" w:rsidR="00D30E94" w:rsidRDefault="00A506A5">
      <w:pPr>
        <w:pStyle w:val="B-Body"/>
        <w:numPr>
          <w:ilvl w:val="0"/>
          <w:numId w:val="2"/>
        </w:numPr>
        <w:jc w:val="both"/>
      </w:pPr>
      <w:r>
        <w:t>For each emission frequency, measure the total power density (1.5) on the selected grid.</w:t>
      </w:r>
    </w:p>
    <w:p w14:paraId="64CD62C8" w14:textId="7182E315" w:rsidR="00D30E94" w:rsidRDefault="00A506A5">
      <w:pPr>
        <w:pStyle w:val="B-Body"/>
        <w:numPr>
          <w:ilvl w:val="0"/>
          <w:numId w:val="2"/>
        </w:numPr>
        <w:jc w:val="both"/>
      </w:pPr>
      <w:r>
        <w:t xml:space="preserve">For each emission frequency, calculate the </w:t>
      </w:r>
      <w:proofErr w:type="spellStart"/>
      <w:r>
        <w:t>TRP</w:t>
      </w:r>
      <w:r>
        <w:rPr>
          <w:vertAlign w:val="subscript"/>
        </w:rPr>
        <w:t>grid</w:t>
      </w:r>
      <w:proofErr w:type="spellEnd"/>
      <w:r>
        <w:t xml:space="preserve"> from the measured power density values choosing suitable method as described in App</w:t>
      </w:r>
      <w:r w:rsidR="001462B4">
        <w:t>endix</w:t>
      </w:r>
      <w:r>
        <w:t xml:space="preserve"> A for full sphere grids and App</w:t>
      </w:r>
      <w:r w:rsidR="001462B4">
        <w:t>endix</w:t>
      </w:r>
      <w:r>
        <w:t xml:space="preserve"> B for orthogonal cuts and then add appropriate </w:t>
      </w:r>
      <m:oMath>
        <m:r>
          <m:rPr>
            <m:sty m:val="p"/>
          </m:rPr>
          <w:rPr>
            <w:rFonts w:ascii="Cambria Math" w:hAnsi="Cambria Math"/>
          </w:rPr>
          <m:t>Δ</m:t>
        </m:r>
        <m:r>
          <m:rPr>
            <m:nor/>
          </m:rPr>
          <m:t>TRP</m:t>
        </m:r>
      </m:oMath>
      <w:r>
        <w:t xml:space="preserve"> from the table below </w:t>
      </w:r>
      <w:proofErr w:type="gramStart"/>
      <w:r>
        <w:t>in order to</w:t>
      </w:r>
      <w:proofErr w:type="gramEnd"/>
      <w:r>
        <w:t xml:space="preserve"> obtain the estimated value for the TRP:</w:t>
      </w:r>
    </w:p>
    <w:p w14:paraId="3653763D" w14:textId="77777777" w:rsidR="00D30E94" w:rsidRDefault="00A506A5">
      <w:pPr>
        <w:pStyle w:val="B-Body"/>
        <w:ind w:left="1080"/>
        <w:jc w:val="both"/>
      </w:pPr>
      <w:r>
        <w:tab/>
      </w:r>
      <w:r>
        <w:tab/>
      </w:r>
      <w:r>
        <w:tab/>
      </w:r>
      <w:r>
        <w:tab/>
      </w:r>
      <w:r>
        <w:rPr>
          <w:rFonts w:ascii="CMR10" w:hAnsi="CMR10" w:cs="CMR10"/>
          <w:noProof/>
        </w:rPr>
        <w:drawing>
          <wp:inline distT="0" distB="0" distL="0" distR="0" wp14:anchorId="76CEEB76" wp14:editId="7B2C0A78">
            <wp:extent cx="1549908" cy="126488"/>
            <wp:effectExtent l="0" t="0" r="0" b="6862"/>
            <wp:docPr id="11" name="Picture 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1549908" cy="126488"/>
                    </a:xfrm>
                    <a:prstGeom prst="rect">
                      <a:avLst/>
                    </a:prstGeom>
                    <a:noFill/>
                    <a:ln>
                      <a:noFill/>
                      <a:prstDash/>
                    </a:ln>
                  </pic:spPr>
                </pic:pic>
              </a:graphicData>
            </a:graphic>
          </wp:inline>
        </w:drawing>
      </w:r>
    </w:p>
    <w:p w14:paraId="4BC77F19" w14:textId="77777777" w:rsidR="00DC2556" w:rsidRDefault="00DC2556">
      <w:pPr>
        <w:pStyle w:val="B-Body"/>
        <w:ind w:left="1080"/>
        <w:jc w:val="both"/>
      </w:pPr>
      <w:bookmarkStart w:id="4" w:name="_GoBack"/>
      <w:bookmarkEnd w:id="4"/>
    </w:p>
    <w:p w14:paraId="2024595B" w14:textId="689A44E3" w:rsidR="000C5208" w:rsidRPr="00DC2556" w:rsidRDefault="000C5208" w:rsidP="00C567E3">
      <w:pPr>
        <w:pStyle w:val="B-Body"/>
        <w:ind w:left="1080"/>
        <w:jc w:val="center"/>
      </w:pPr>
      <w:r w:rsidRPr="00DC2556">
        <w:t xml:space="preserve">Table 4-1. TRP </w:t>
      </w:r>
      <w:r w:rsidR="00340DED" w:rsidRPr="00DC2556">
        <w:t xml:space="preserve">systematic </w:t>
      </w:r>
      <w:r w:rsidR="00572E07" w:rsidRPr="00DC2556">
        <w:t>correction</w:t>
      </w:r>
      <w:r>
        <w:t xml:space="preserve"> for spurious emissions</w:t>
      </w:r>
      <w:r w:rsidR="00340DED">
        <w:t xml:space="preserve"> </w:t>
      </w:r>
      <w:r w:rsidR="001462B4">
        <w:t>–</w:t>
      </w:r>
      <w:r w:rsidR="00340DED">
        <w:t xml:space="preserve"> </w:t>
      </w:r>
      <m:oMath>
        <m:r>
          <m:rPr>
            <m:sty m:val="p"/>
          </m:rPr>
          <w:rPr>
            <w:rFonts w:ascii="Cambria Math" w:hAnsi="Cambria Math"/>
          </w:rPr>
          <m:t>Δ</m:t>
        </m:r>
        <m:r>
          <m:rPr>
            <m:nor/>
          </m:rPr>
          <m:t>TRP</m:t>
        </m:r>
      </m:oMath>
      <w:r w:rsidR="001462B4">
        <w:t xml:space="preserve"> </w:t>
      </w:r>
    </w:p>
    <w:p w14:paraId="2D84BB6C" w14:textId="77777777" w:rsidR="00D30E94" w:rsidRDefault="00D30E94">
      <w:pPr>
        <w:pStyle w:val="B-Body"/>
        <w:ind w:left="1080"/>
        <w:jc w:val="both"/>
        <w:rPr>
          <w:rFonts w:ascii="CMR10" w:hAnsi="CMR10" w:cs="CMR10"/>
        </w:rPr>
      </w:pPr>
    </w:p>
    <w:tbl>
      <w:tblPr>
        <w:tblW w:w="8413" w:type="dxa"/>
        <w:tblInd w:w="1080" w:type="dxa"/>
        <w:tblCellMar>
          <w:left w:w="10" w:type="dxa"/>
          <w:right w:w="10" w:type="dxa"/>
        </w:tblCellMar>
        <w:tblLook w:val="0000" w:firstRow="0" w:lastRow="0" w:firstColumn="0" w:lastColumn="0" w:noHBand="0" w:noVBand="0"/>
      </w:tblPr>
      <w:tblGrid>
        <w:gridCol w:w="1654"/>
        <w:gridCol w:w="1654"/>
        <w:gridCol w:w="1654"/>
        <w:gridCol w:w="3451"/>
      </w:tblGrid>
      <w:tr w:rsidR="00D30E94" w14:paraId="43F4D563" w14:textId="77777777">
        <w:tc>
          <w:tcPr>
            <w:tcW w:w="1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16DD06" w14:textId="77777777" w:rsidR="00D30E94" w:rsidRDefault="00A506A5">
            <w:pPr>
              <w:pStyle w:val="B-Body"/>
              <w:ind w:left="0"/>
              <w:jc w:val="both"/>
              <w:rPr>
                <w:b/>
                <w:sz w:val="22"/>
              </w:rPr>
            </w:pPr>
            <w:r>
              <w:rPr>
                <w:b/>
                <w:sz w:val="22"/>
              </w:rPr>
              <w:t>Grid type:</w:t>
            </w:r>
          </w:p>
        </w:tc>
        <w:tc>
          <w:tcPr>
            <w:tcW w:w="1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2A1144" w14:textId="77777777" w:rsidR="00D30E94" w:rsidRDefault="00A506A5">
            <w:pPr>
              <w:pStyle w:val="B-Body"/>
              <w:ind w:left="0"/>
              <w:jc w:val="center"/>
              <w:rPr>
                <w:b/>
                <w:sz w:val="22"/>
              </w:rPr>
            </w:pPr>
            <w:r>
              <w:rPr>
                <w:b/>
                <w:sz w:val="22"/>
              </w:rPr>
              <w:t>2-cuts</w:t>
            </w:r>
          </w:p>
        </w:tc>
        <w:tc>
          <w:tcPr>
            <w:tcW w:w="1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E50843" w14:textId="77777777" w:rsidR="00D30E94" w:rsidRDefault="00A506A5">
            <w:pPr>
              <w:pStyle w:val="B-Body"/>
              <w:ind w:left="0"/>
              <w:jc w:val="center"/>
              <w:rPr>
                <w:b/>
                <w:sz w:val="22"/>
              </w:rPr>
            </w:pPr>
            <w:r>
              <w:rPr>
                <w:b/>
                <w:sz w:val="22"/>
              </w:rPr>
              <w:t>3-cuts</w:t>
            </w:r>
          </w:p>
        </w:tc>
        <w:tc>
          <w:tcPr>
            <w:tcW w:w="34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7AD2C6" w14:textId="77777777" w:rsidR="00D30E94" w:rsidRDefault="00A506A5">
            <w:pPr>
              <w:pStyle w:val="B-Body"/>
              <w:ind w:left="0"/>
              <w:jc w:val="center"/>
              <w:rPr>
                <w:b/>
                <w:sz w:val="22"/>
              </w:rPr>
            </w:pPr>
            <w:r>
              <w:rPr>
                <w:b/>
                <w:sz w:val="22"/>
              </w:rPr>
              <w:t>Full Sphere</w:t>
            </w:r>
          </w:p>
        </w:tc>
      </w:tr>
      <w:tr w:rsidR="00D30E94" w14:paraId="407DF3ED" w14:textId="77777777">
        <w:tc>
          <w:tcPr>
            <w:tcW w:w="1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AB208A" w14:textId="77777777" w:rsidR="00D30E94" w:rsidRDefault="00A506A5">
            <w:pPr>
              <w:pStyle w:val="B-Body"/>
              <w:ind w:left="0"/>
              <w:jc w:val="both"/>
            </w:pPr>
            <m:oMath>
              <m:r>
                <m:rPr>
                  <m:sty m:val="p"/>
                </m:rPr>
                <w:rPr>
                  <w:rFonts w:ascii="Cambria Math" w:hAnsi="Cambria Math"/>
                </w:rPr>
                <m:t>Δ</m:t>
              </m:r>
              <m:r>
                <m:rPr>
                  <m:nor/>
                </m:rPr>
                <m:t>TRP</m:t>
              </m:r>
            </m:oMath>
            <w:r>
              <w:t xml:space="preserve"> (dB)</w:t>
            </w:r>
          </w:p>
        </w:tc>
        <w:tc>
          <w:tcPr>
            <w:tcW w:w="1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0C255A" w14:textId="77777777" w:rsidR="00D30E94" w:rsidRDefault="00A506A5">
            <w:pPr>
              <w:pStyle w:val="B-Body"/>
              <w:ind w:left="0"/>
              <w:jc w:val="center"/>
            </w:pPr>
            <w:r>
              <w:t>2</w:t>
            </w:r>
          </w:p>
        </w:tc>
        <w:tc>
          <w:tcPr>
            <w:tcW w:w="1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01B1A7" w14:textId="77777777" w:rsidR="00D30E94" w:rsidRDefault="00A506A5">
            <w:pPr>
              <w:pStyle w:val="B-Body"/>
              <w:ind w:left="0"/>
              <w:jc w:val="center"/>
            </w:pPr>
            <w:r>
              <w:t>1.5</w:t>
            </w:r>
          </w:p>
        </w:tc>
        <w:tc>
          <w:tcPr>
            <w:tcW w:w="34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094A34" w14:textId="77777777" w:rsidR="00D30E94" w:rsidRDefault="00D4105F">
            <w:pPr>
              <w:pStyle w:val="B-Body"/>
              <w:ind w:left="0"/>
              <w:jc w:val="center"/>
            </w:pPr>
            <m:oMathPara>
              <m:oMathParaPr>
                <m:jc m:val="center"/>
              </m:oMathParaPr>
              <m:oMath>
                <m:f>
                  <m:fPr>
                    <m:ctrlPr>
                      <w:rPr>
                        <w:rFonts w:ascii="Cambria Math" w:hAnsi="Cambria Math"/>
                      </w:rPr>
                    </m:ctrlPr>
                  </m:fPr>
                  <m:num>
                    <m:r>
                      <w:rPr>
                        <w:rFonts w:ascii="Cambria Math" w:hAnsi="Cambria Math"/>
                      </w:rPr>
                      <m:t>SF-1</m:t>
                    </m:r>
                  </m:num>
                  <m:den>
                    <m:sSub>
                      <m:sSubPr>
                        <m:ctrlPr>
                          <w:rPr>
                            <w:rFonts w:ascii="Cambria Math" w:hAnsi="Cambria Math"/>
                          </w:rPr>
                        </m:ctrlPr>
                      </m:sSubPr>
                      <m:e>
                        <m:r>
                          <w:rPr>
                            <w:rFonts w:ascii="Cambria Math" w:hAnsi="Cambria Math"/>
                          </w:rPr>
                          <m:t>SF</m:t>
                        </m:r>
                      </m:e>
                      <m:sub>
                        <m:r>
                          <w:rPr>
                            <w:rFonts w:ascii="Cambria Math" w:hAnsi="Cambria Math"/>
                          </w:rPr>
                          <m:t>max</m:t>
                        </m:r>
                      </m:sub>
                    </m:sSub>
                    <m:r>
                      <w:rPr>
                        <w:rFonts w:ascii="Cambria Math" w:hAnsi="Cambria Math"/>
                      </w:rPr>
                      <m:t>-1</m:t>
                    </m:r>
                  </m:den>
                </m:f>
              </m:oMath>
            </m:oMathPara>
          </w:p>
          <w:p w14:paraId="092DE384" w14:textId="77777777" w:rsidR="00D30E94" w:rsidRDefault="00D30E94">
            <w:pPr>
              <w:pStyle w:val="B-Body"/>
              <w:ind w:left="0"/>
              <w:jc w:val="center"/>
            </w:pPr>
          </w:p>
        </w:tc>
      </w:tr>
      <w:tr w:rsidR="00D30E94" w14:paraId="6A3B67C9" w14:textId="77777777">
        <w:tc>
          <w:tcPr>
            <w:tcW w:w="1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03B50C" w14:textId="77777777" w:rsidR="00D30E94" w:rsidRDefault="00A506A5">
            <w:pPr>
              <w:pStyle w:val="B-Body"/>
              <w:ind w:left="0"/>
              <w:jc w:val="both"/>
              <w:rPr>
                <w:rFonts w:ascii="Calibri" w:eastAsia="MS Mincho" w:hAnsi="Calibri"/>
              </w:rPr>
            </w:pPr>
            <w:r>
              <w:rPr>
                <w:rFonts w:ascii="Calibri" w:eastAsia="MS Mincho" w:hAnsi="Calibri"/>
              </w:rPr>
              <w:t>Note</w:t>
            </w:r>
          </w:p>
        </w:tc>
        <w:tc>
          <w:tcPr>
            <w:tcW w:w="1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45610F" w14:textId="77777777" w:rsidR="00D30E94" w:rsidRDefault="00D30E94">
            <w:pPr>
              <w:pStyle w:val="B-Body"/>
              <w:ind w:left="0"/>
              <w:jc w:val="both"/>
            </w:pPr>
          </w:p>
        </w:tc>
        <w:tc>
          <w:tcPr>
            <w:tcW w:w="16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A92BCE" w14:textId="77777777" w:rsidR="00D30E94" w:rsidRDefault="00D30E94">
            <w:pPr>
              <w:pStyle w:val="B-Body"/>
              <w:ind w:left="0"/>
              <w:jc w:val="both"/>
            </w:pPr>
          </w:p>
        </w:tc>
        <w:tc>
          <w:tcPr>
            <w:tcW w:w="34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024FE2" w14:textId="77777777" w:rsidR="00D30E94" w:rsidRDefault="00A506A5">
            <w:pPr>
              <w:suppressAutoHyphens w:val="0"/>
              <w:autoSpaceDE w:val="0"/>
              <w:spacing w:after="0" w:line="240" w:lineRule="auto"/>
              <w:textAlignment w:val="auto"/>
            </w:pPr>
            <w:proofErr w:type="spellStart"/>
            <w:r>
              <w:rPr>
                <w:rFonts w:ascii="CMR10" w:hAnsi="CMR10" w:cs="CMR10"/>
                <w:sz w:val="20"/>
                <w:szCs w:val="20"/>
                <w:lang w:val="en-US"/>
              </w:rPr>
              <w:t>SF</w:t>
            </w:r>
            <w:r>
              <w:rPr>
                <w:rFonts w:ascii="NimbusRomNo9L-Regu" w:hAnsi="NimbusRomNo9L-Regu" w:cs="NimbusRomNo9L-Regu"/>
                <w:sz w:val="14"/>
                <w:szCs w:val="14"/>
                <w:lang w:val="en-US"/>
              </w:rPr>
              <w:t>max</w:t>
            </w:r>
            <w:proofErr w:type="spellEnd"/>
            <w:r>
              <w:rPr>
                <w:rFonts w:ascii="NimbusRomNo9L-Regu" w:hAnsi="NimbusRomNo9L-Regu" w:cs="NimbusRomNo9L-Regu"/>
                <w:sz w:val="14"/>
                <w:szCs w:val="14"/>
                <w:lang w:val="en-US"/>
              </w:rPr>
              <w:t xml:space="preserve"> </w:t>
            </w:r>
            <w:r>
              <w:rPr>
                <w:rFonts w:ascii="NimbusRomNo9L-Regu" w:hAnsi="NimbusRomNo9L-Regu" w:cs="NimbusRomNo9L-Regu"/>
                <w:sz w:val="20"/>
                <w:szCs w:val="20"/>
                <w:lang w:val="en-US"/>
              </w:rPr>
              <w:t xml:space="preserve">corresponds to </w:t>
            </w:r>
            <m:oMath>
              <m:r>
                <m:rPr>
                  <m:sty m:val="p"/>
                </m:rPr>
                <w:rPr>
                  <w:rFonts w:ascii="Cambria Math" w:hAnsi="Cambria Math"/>
                </w:rPr>
                <m:t>Δϕ</m:t>
              </m:r>
              <m:r>
                <w:rPr>
                  <w:rFonts w:ascii="Cambria Math" w:hAnsi="Cambria Math"/>
                </w:rPr>
                <m:t>=</m:t>
              </m:r>
              <m:sSup>
                <m:sSupPr>
                  <m:ctrlPr>
                    <w:rPr>
                      <w:rFonts w:ascii="Cambria Math" w:hAnsi="Cambria Math"/>
                    </w:rPr>
                  </m:ctrlPr>
                </m:sSupPr>
                <m:e>
                  <m:r>
                    <w:rPr>
                      <w:rFonts w:ascii="Cambria Math" w:hAnsi="Cambria Math"/>
                    </w:rPr>
                    <m:t>15</m:t>
                  </m:r>
                </m:e>
                <m:sup>
                  <m:r>
                    <w:rPr>
                      <w:rFonts w:ascii="Cambria Math" w:hAnsi="Cambria Math"/>
                    </w:rPr>
                    <m:t>∘</m:t>
                  </m:r>
                </m:sup>
              </m:sSup>
            </m:oMath>
          </w:p>
        </w:tc>
      </w:tr>
      <w:tr w:rsidR="00D30E94" w14:paraId="77F258F6" w14:textId="77777777">
        <w:tc>
          <w:tcPr>
            <w:tcW w:w="8413"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096849" w14:textId="53CF1640" w:rsidR="00D30E94" w:rsidRDefault="00A506A5">
            <w:pPr>
              <w:suppressAutoHyphens w:val="0"/>
              <w:autoSpaceDE w:val="0"/>
              <w:spacing w:after="0" w:line="240" w:lineRule="auto"/>
              <w:textAlignment w:val="auto"/>
            </w:pPr>
            <w:r>
              <w:rPr>
                <w:rFonts w:ascii="CMR10" w:hAnsi="CMR10" w:cs="CMR10"/>
                <w:sz w:val="20"/>
                <w:szCs w:val="20"/>
                <w:lang w:val="en-US"/>
              </w:rPr>
              <w:t>These values are the results of a large statistical investigation</w:t>
            </w:r>
            <w:r w:rsidR="00DC2556">
              <w:rPr>
                <w:rFonts w:ascii="CMR10" w:hAnsi="CMR10" w:cs="CMR10"/>
                <w:sz w:val="20"/>
                <w:szCs w:val="20"/>
                <w:lang w:val="en-US"/>
              </w:rPr>
              <w:t xml:space="preserve">, as described in </w:t>
            </w:r>
            <w:proofErr w:type="spellStart"/>
            <w:r w:rsidR="00DC2556" w:rsidRPr="00DC2556">
              <w:rPr>
                <w:rFonts w:ascii="CMR10" w:hAnsi="CMR10" w:cs="CMR10"/>
                <w:sz w:val="20"/>
                <w:szCs w:val="20"/>
                <w:highlight w:val="yellow"/>
                <w:lang w:val="en-US"/>
              </w:rPr>
              <w:t>Mxy</w:t>
            </w:r>
            <w:proofErr w:type="spellEnd"/>
            <w:r w:rsidR="00DC2556">
              <w:rPr>
                <w:rFonts w:ascii="CMR10" w:hAnsi="CMR10" w:cs="CMR10"/>
                <w:sz w:val="20"/>
                <w:szCs w:val="20"/>
                <w:lang w:val="en-US"/>
              </w:rPr>
              <w:t>,</w:t>
            </w:r>
            <w:r>
              <w:rPr>
                <w:rFonts w:ascii="CMR10" w:hAnsi="CMR10" w:cs="CMR10"/>
                <w:sz w:val="20"/>
                <w:szCs w:val="20"/>
                <w:lang w:val="en-US"/>
              </w:rPr>
              <w:t xml:space="preserve"> </w:t>
            </w:r>
            <w:r w:rsidR="00DC2556" w:rsidRPr="00DC2556">
              <w:rPr>
                <w:rFonts w:ascii="CMR10" w:hAnsi="CMR10" w:cs="CMR10"/>
                <w:sz w:val="20"/>
                <w:szCs w:val="20"/>
                <w:lang w:val="en-US"/>
              </w:rPr>
              <w:t xml:space="preserve">based on an assumed maximum correlation factor </w:t>
            </w:r>
            <w:proofErr w:type="spellStart"/>
            <w:r w:rsidR="00DC2556" w:rsidRPr="00DC2556">
              <w:rPr>
                <w:rFonts w:ascii="CMR10" w:hAnsi="CMR10" w:cs="CMR10"/>
                <w:sz w:val="20"/>
                <w:szCs w:val="20"/>
                <w:lang w:val="en-US"/>
              </w:rPr>
              <w:t>ρmax</w:t>
            </w:r>
            <w:proofErr w:type="spellEnd"/>
            <w:r w:rsidR="00DC2556" w:rsidRPr="00DC2556">
              <w:rPr>
                <w:rFonts w:ascii="CMR10" w:hAnsi="CMR10" w:cs="CMR10"/>
                <w:sz w:val="20"/>
                <w:szCs w:val="20"/>
                <w:lang w:val="en-US"/>
              </w:rPr>
              <w:t>=0.33)</w:t>
            </w:r>
            <w:r>
              <w:rPr>
                <w:rFonts w:ascii="CMR10" w:hAnsi="CMR10" w:cs="CMR10"/>
                <w:sz w:val="20"/>
                <w:szCs w:val="20"/>
                <w:lang w:val="en-US"/>
              </w:rPr>
              <w:t>. The statistical confidence is 95%.</w:t>
            </w:r>
          </w:p>
        </w:tc>
      </w:tr>
    </w:tbl>
    <w:p w14:paraId="274BC829" w14:textId="77777777" w:rsidR="00D30E94" w:rsidRDefault="00D30E94">
      <w:pPr>
        <w:pStyle w:val="B-Body"/>
        <w:ind w:left="1080"/>
        <w:jc w:val="both"/>
      </w:pPr>
    </w:p>
    <w:p w14:paraId="214A8ADD" w14:textId="77777777" w:rsidR="00D30E94" w:rsidRDefault="00A506A5">
      <w:pPr>
        <w:pStyle w:val="B-Body"/>
        <w:numPr>
          <w:ilvl w:val="0"/>
          <w:numId w:val="2"/>
        </w:numPr>
        <w:jc w:val="both"/>
      </w:pPr>
      <w:r>
        <w:t xml:space="preserve">If the estimated TRP exceeds the limit and if it is possible to enhance the grid to reduce it, then repeat step b with new choices, and continue. </w:t>
      </w:r>
    </w:p>
    <w:p w14:paraId="43BDFC14" w14:textId="77777777" w:rsidR="00D30E94" w:rsidRDefault="00A506A5">
      <w:pPr>
        <w:pStyle w:val="B-Body"/>
        <w:ind w:left="1080"/>
        <w:jc w:val="both"/>
      </w:pPr>
      <w:r>
        <w:t xml:space="preserve">Note: For the emissions at harmonics of the carrier the use of beam sweeping would be recommended due to the narrow beams of the emissions pattern that would be present when a fixed beam is transmitted. </w:t>
      </w:r>
    </w:p>
    <w:p w14:paraId="6A7C6327" w14:textId="77777777" w:rsidR="00D30E94" w:rsidRDefault="00D30E94">
      <w:pPr>
        <w:pStyle w:val="BodyText"/>
      </w:pPr>
    </w:p>
    <w:p w14:paraId="40F4D1D8" w14:textId="77777777" w:rsidR="00D30E94" w:rsidRDefault="00A506A5">
      <w:pPr>
        <w:pStyle w:val="BodyText"/>
      </w:pPr>
      <w:r>
        <w:t>The steps of the method are described in the flow chart of Figure 4-1.  If the initial choices fail to give a compliant value of TRP new selections can made and the flow chart applied again.</w:t>
      </w:r>
    </w:p>
    <w:p w14:paraId="0B231CEB" w14:textId="77777777" w:rsidR="00D30E94" w:rsidRDefault="00D30E94">
      <w:pPr>
        <w:pStyle w:val="BodyText"/>
      </w:pPr>
    </w:p>
    <w:p w14:paraId="5D1927DB" w14:textId="77777777" w:rsidR="00D30E94" w:rsidRDefault="00A506A5">
      <w:pPr>
        <w:pStyle w:val="BodyText"/>
        <w:jc w:val="center"/>
      </w:pPr>
      <w:r>
        <w:rPr>
          <w:noProof/>
        </w:rPr>
        <w:drawing>
          <wp:inline distT="0" distB="0" distL="0" distR="0" wp14:anchorId="639AA07E" wp14:editId="3E0BE833">
            <wp:extent cx="2223455" cy="3138595"/>
            <wp:effectExtent l="0" t="0" r="5395" b="4655"/>
            <wp:docPr id="12" name="Pictur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rcRect/>
                    <a:stretch>
                      <a:fillRect/>
                    </a:stretch>
                  </pic:blipFill>
                  <pic:spPr>
                    <a:xfrm>
                      <a:off x="0" y="0"/>
                      <a:ext cx="2223455" cy="3138595"/>
                    </a:xfrm>
                    <a:prstGeom prst="rect">
                      <a:avLst/>
                    </a:prstGeom>
                    <a:noFill/>
                    <a:ln>
                      <a:noFill/>
                      <a:prstDash/>
                    </a:ln>
                  </pic:spPr>
                </pic:pic>
              </a:graphicData>
            </a:graphic>
          </wp:inline>
        </w:drawing>
      </w:r>
    </w:p>
    <w:p w14:paraId="291AD726" w14:textId="77777777" w:rsidR="000C5208" w:rsidRDefault="00AE46EE">
      <w:pPr>
        <w:pStyle w:val="BodyText"/>
        <w:jc w:val="center"/>
      </w:pPr>
      <w:r>
        <w:t>Figure 4-1: Flow chart for spurious emissions.</w:t>
      </w:r>
    </w:p>
    <w:p w14:paraId="4FD630E0" w14:textId="60E8AA07" w:rsidR="00340DED" w:rsidRDefault="00665395" w:rsidP="00340DED">
      <w:pPr>
        <w:pStyle w:val="Heading3"/>
      </w:pPr>
      <w:proofErr w:type="spellStart"/>
      <w:r>
        <w:t>M</w:t>
      </w:r>
      <w:r w:rsidR="00340DED">
        <w:t>.x.y</w:t>
      </w:r>
      <w:proofErr w:type="spellEnd"/>
      <w:r w:rsidR="00340DED">
        <w:t xml:space="preserve"> Test procedure</w:t>
      </w:r>
      <w:r w:rsidR="00340DED" w:rsidRPr="00340DED">
        <w:t xml:space="preserve"> for in-band unwanted emissions (ACLR included)</w:t>
      </w:r>
    </w:p>
    <w:p w14:paraId="3A403D9F" w14:textId="77777777" w:rsidR="00D30E94" w:rsidRDefault="00A506A5">
      <w:pPr>
        <w:pStyle w:val="BodyText"/>
      </w:pPr>
      <w:r>
        <w:rPr>
          <w:rFonts w:ascii="Calibri" w:eastAsia="MS Mincho" w:hAnsi="Calibri"/>
          <w:sz w:val="22"/>
          <w:szCs w:val="22"/>
          <w:lang w:val="en-CA"/>
        </w:rPr>
        <w:t xml:space="preserve">Compared to the TX spurious emissions the in-band unwanted emissions are likely to experience the </w:t>
      </w:r>
      <w:proofErr w:type="gramStart"/>
      <w:r>
        <w:rPr>
          <w:rFonts w:ascii="Calibri" w:eastAsia="MS Mincho" w:hAnsi="Calibri"/>
          <w:sz w:val="22"/>
          <w:szCs w:val="22"/>
          <w:lang w:val="en-CA"/>
        </w:rPr>
        <w:t>fairly similar</w:t>
      </w:r>
      <w:proofErr w:type="gramEnd"/>
      <w:r>
        <w:rPr>
          <w:rFonts w:ascii="Calibri" w:eastAsia="MS Mincho" w:hAnsi="Calibri"/>
          <w:sz w:val="22"/>
          <w:szCs w:val="22"/>
          <w:lang w:val="en-CA"/>
        </w:rPr>
        <w:t xml:space="preserve"> beamforming pattern as the carrier. Due to this reason, it is easily predictable where the maximum of the emissions is going to be, hence the possibility to enhance the measurement method </w:t>
      </w:r>
      <w:proofErr w:type="gramStart"/>
      <w:r>
        <w:rPr>
          <w:rFonts w:ascii="Calibri" w:eastAsia="MS Mincho" w:hAnsi="Calibri"/>
          <w:sz w:val="22"/>
          <w:szCs w:val="22"/>
          <w:lang w:val="en-CA"/>
        </w:rPr>
        <w:t>in order to</w:t>
      </w:r>
      <w:proofErr w:type="gramEnd"/>
      <w:r>
        <w:rPr>
          <w:rFonts w:ascii="Calibri" w:eastAsia="MS Mincho" w:hAnsi="Calibri"/>
          <w:sz w:val="22"/>
          <w:szCs w:val="22"/>
          <w:lang w:val="en-CA"/>
        </w:rPr>
        <w:t xml:space="preserve"> achieve better accuracy (e.g. apply the </w:t>
      </w:r>
      <w:r w:rsidRPr="00DC2556">
        <w:rPr>
          <w:rFonts w:ascii="Calibri" w:eastAsia="MS Mincho" w:hAnsi="Calibri"/>
          <w:i/>
          <w:sz w:val="22"/>
          <w:szCs w:val="22"/>
          <w:lang w:val="en-CA"/>
        </w:rPr>
        <w:t>pattern multiplication method</w:t>
      </w:r>
      <w:r>
        <w:rPr>
          <w:rFonts w:ascii="Calibri" w:eastAsia="MS Mincho" w:hAnsi="Calibri"/>
          <w:sz w:val="22"/>
          <w:szCs w:val="22"/>
          <w:lang w:val="en-CA"/>
        </w:rPr>
        <w:t xml:space="preserve"> in case when orthogonal cuts are chosen).</w:t>
      </w:r>
    </w:p>
    <w:p w14:paraId="4D88CBA9" w14:textId="77777777" w:rsidR="00D30E94" w:rsidRDefault="00D30E94">
      <w:pPr>
        <w:suppressAutoHyphens w:val="0"/>
        <w:spacing w:after="0" w:line="240" w:lineRule="auto"/>
      </w:pPr>
      <w:bookmarkStart w:id="5" w:name="_Hlk506742598"/>
    </w:p>
    <w:bookmarkEnd w:id="5"/>
    <w:p w14:paraId="13F9F680" w14:textId="77777777" w:rsidR="00D30E94" w:rsidRDefault="00A506A5">
      <w:pPr>
        <w:pStyle w:val="BodyText"/>
      </w:pPr>
      <w:r>
        <w:t>The measurement procedure is the following</w:t>
      </w:r>
    </w:p>
    <w:p w14:paraId="777259BF" w14:textId="77777777" w:rsidR="00D30E94" w:rsidRDefault="00A506A5">
      <w:pPr>
        <w:pStyle w:val="B-Body"/>
        <w:numPr>
          <w:ilvl w:val="0"/>
          <w:numId w:val="3"/>
        </w:numPr>
        <w:jc w:val="both"/>
      </w:pPr>
      <w:r>
        <w:t>For each emission frequency, select the grid type: full sphere or orthogonal cuts.</w:t>
      </w:r>
    </w:p>
    <w:p w14:paraId="78E9FF00" w14:textId="77777777" w:rsidR="00D30E94" w:rsidRDefault="00A506A5">
      <w:pPr>
        <w:pStyle w:val="B-Body"/>
        <w:numPr>
          <w:ilvl w:val="0"/>
          <w:numId w:val="3"/>
        </w:numPr>
        <w:jc w:val="both"/>
      </w:pPr>
      <w:r>
        <w:t xml:space="preserve">For each emission frequency, set the grid spatial sampling steps to the reference angular steps (1.10) or lower. </w:t>
      </w:r>
    </w:p>
    <w:p w14:paraId="43E8A4B3" w14:textId="270D2F36" w:rsidR="00D30E94" w:rsidRDefault="00A506A5">
      <w:pPr>
        <w:pStyle w:val="B-Body"/>
        <w:numPr>
          <w:ilvl w:val="0"/>
          <w:numId w:val="4"/>
        </w:numPr>
        <w:jc w:val="both"/>
      </w:pPr>
      <w:r>
        <w:t>If beam sweeping is used the angular step can be set to a coarser valu</w:t>
      </w:r>
      <w:r w:rsidR="00DC2556">
        <w:t xml:space="preserve">e, </w:t>
      </w:r>
      <w:proofErr w:type="spellStart"/>
      <w:r w:rsidR="00DC2556">
        <w:t>e.g</w:t>
      </w:r>
      <w:proofErr w:type="spellEnd"/>
      <w:r w:rsidR="00DC2556">
        <w:t xml:space="preserve"> 15 deg.</w:t>
      </w:r>
      <w:r>
        <w:t xml:space="preserve"> </w:t>
      </w:r>
      <w:r w:rsidRPr="003F6DB8">
        <w:rPr>
          <w:highlight w:val="yellow"/>
        </w:rPr>
        <w:t>FFS</w:t>
      </w:r>
      <w:r>
        <w:t xml:space="preserve">. </w:t>
      </w:r>
    </w:p>
    <w:p w14:paraId="4F03510D" w14:textId="77777777" w:rsidR="00D30E94" w:rsidRDefault="00A506A5" w:rsidP="00E90BEF">
      <w:pPr>
        <w:pStyle w:val="B-Body"/>
        <w:numPr>
          <w:ilvl w:val="0"/>
          <w:numId w:val="3"/>
        </w:numPr>
        <w:jc w:val="both"/>
      </w:pPr>
      <w:r>
        <w:t xml:space="preserve">For each emission frequency, measure the total power density (1.5) on the selected grid. For each emission frequency, calculate the </w:t>
      </w:r>
      <w:proofErr w:type="spellStart"/>
      <w:r>
        <w:t>TRP</w:t>
      </w:r>
      <w:r w:rsidRPr="00E90BEF">
        <w:rPr>
          <w:vertAlign w:val="subscript"/>
        </w:rPr>
        <w:t>grid</w:t>
      </w:r>
      <w:proofErr w:type="spellEnd"/>
      <w:r>
        <w:t xml:space="preserve"> from the measured power density values choosing suitable method as described in Appendix A for full sphere grids and Appendix B for orthogonal cuts</w:t>
      </w:r>
      <w:r w:rsidRPr="00E90BEF">
        <w:rPr>
          <w:color w:val="FF0000"/>
        </w:rPr>
        <w:t xml:space="preserve"> </w:t>
      </w:r>
    </w:p>
    <w:p w14:paraId="4D493A63" w14:textId="77777777" w:rsidR="00D30E94" w:rsidRDefault="00A506A5">
      <w:pPr>
        <w:pStyle w:val="B-Body"/>
        <w:numPr>
          <w:ilvl w:val="0"/>
          <w:numId w:val="3"/>
        </w:numPr>
        <w:jc w:val="both"/>
      </w:pPr>
      <w:r>
        <w:lastRenderedPageBreak/>
        <w:t>Apply pattern multiplication if permitted, see Appendix C.</w:t>
      </w:r>
    </w:p>
    <w:p w14:paraId="0D51B991" w14:textId="3FD8E895" w:rsidR="00D30E94" w:rsidRDefault="00A506A5">
      <w:pPr>
        <w:pStyle w:val="B-Body"/>
        <w:numPr>
          <w:ilvl w:val="0"/>
          <w:numId w:val="3"/>
        </w:numPr>
        <w:jc w:val="both"/>
      </w:pPr>
      <w:commentRangeStart w:id="6"/>
      <w:r>
        <w:t xml:space="preserve">In this case </w:t>
      </w:r>
      <w:proofErr w:type="spellStart"/>
      <w:r>
        <w:rPr>
          <w:rFonts w:ascii="CMR10" w:hAnsi="CMR10" w:cs="CMR10"/>
        </w:rPr>
        <w:t>TRP</w:t>
      </w:r>
      <w:r>
        <w:rPr>
          <w:rFonts w:ascii="CMR7" w:hAnsi="CMR7" w:cs="CMR7"/>
          <w:sz w:val="14"/>
          <w:szCs w:val="14"/>
        </w:rPr>
        <w:t>est</w:t>
      </w:r>
      <w:proofErr w:type="spellEnd"/>
      <w:r>
        <w:rPr>
          <w:rFonts w:ascii="CMR7" w:hAnsi="CMR7" w:cs="CMR7"/>
          <w:sz w:val="14"/>
          <w:szCs w:val="14"/>
        </w:rPr>
        <w:t xml:space="preserve"> </w:t>
      </w:r>
      <w:r>
        <w:rPr>
          <w:rFonts w:ascii="CMR10" w:hAnsi="CMR10" w:cs="CMR10"/>
        </w:rPr>
        <w:t xml:space="preserve">= </w:t>
      </w:r>
      <w:proofErr w:type="spellStart"/>
      <w:r>
        <w:rPr>
          <w:rFonts w:ascii="CMR10" w:hAnsi="CMR10" w:cs="CMR10"/>
        </w:rPr>
        <w:t>TRP</w:t>
      </w:r>
      <w:r>
        <w:rPr>
          <w:rFonts w:ascii="CMR7" w:hAnsi="CMR7" w:cs="CMR7"/>
          <w:sz w:val="14"/>
          <w:szCs w:val="14"/>
        </w:rPr>
        <w:t>grid</w:t>
      </w:r>
      <w:commentRangeEnd w:id="6"/>
      <w:proofErr w:type="spellEnd"/>
      <w:r w:rsidR="00340DED">
        <w:rPr>
          <w:rStyle w:val="CommentReference"/>
          <w:rFonts w:ascii="Calibri" w:eastAsia="Calibri" w:hAnsi="Calibri"/>
          <w:lang w:val="en-CA"/>
        </w:rPr>
        <w:commentReference w:id="6"/>
      </w:r>
      <w:r>
        <w:rPr>
          <w:rFonts w:ascii="CMR7" w:hAnsi="CMR7" w:cs="CMR7"/>
          <w:sz w:val="14"/>
          <w:szCs w:val="14"/>
        </w:rPr>
        <w:t>.</w:t>
      </w:r>
      <w:r w:rsidR="00DC2556">
        <w:rPr>
          <w:rFonts w:ascii="CMR7" w:hAnsi="CMR7" w:cs="CMR7"/>
          <w:sz w:val="14"/>
          <w:szCs w:val="14"/>
        </w:rPr>
        <w:t>.</w:t>
      </w:r>
      <w:r>
        <w:rPr>
          <w:rFonts w:ascii="CMR7" w:hAnsi="CMR7" w:cs="CMR7"/>
          <w:sz w:val="14"/>
          <w:szCs w:val="14"/>
        </w:rPr>
        <w:t xml:space="preserve"> </w:t>
      </w:r>
      <w:r>
        <w:t xml:space="preserve">If </w:t>
      </w:r>
      <w:proofErr w:type="spellStart"/>
      <w:r>
        <w:t>TRP</w:t>
      </w:r>
      <w:r>
        <w:rPr>
          <w:vertAlign w:val="subscript"/>
        </w:rPr>
        <w:t>est</w:t>
      </w:r>
      <w:proofErr w:type="spellEnd"/>
      <w:r>
        <w:t xml:space="preserve"> exceeds the TRP limit and if it is possible to enhance the grid to reduce </w:t>
      </w:r>
      <w:proofErr w:type="spellStart"/>
      <w:r>
        <w:t>TRP</w:t>
      </w:r>
      <w:r>
        <w:rPr>
          <w:vertAlign w:val="subscript"/>
        </w:rPr>
        <w:t>grid</w:t>
      </w:r>
      <w:proofErr w:type="spellEnd"/>
      <w:r>
        <w:t xml:space="preserve">, then repeat the steps b) to </w:t>
      </w:r>
      <w:r w:rsidR="00E90BEF">
        <w:t>d</w:t>
      </w:r>
      <w:r>
        <w:t xml:space="preserve">) with a new grid selection. The grid may be enhanced either by, adding an optional orthogonal cut, or using a full sphere grid or measuring additional sampling points. </w:t>
      </w:r>
    </w:p>
    <w:p w14:paraId="13489BBD" w14:textId="77777777" w:rsidR="00D30E94" w:rsidRDefault="00A506A5">
      <w:pPr>
        <w:pStyle w:val="BodyText"/>
        <w:pageBreakBefore/>
      </w:pPr>
      <w:r>
        <w:lastRenderedPageBreak/>
        <w:t>The steps of the method are described in the flow chart in Figure 5-1</w:t>
      </w:r>
    </w:p>
    <w:p w14:paraId="638B4DA4" w14:textId="77777777" w:rsidR="00D30E94" w:rsidRDefault="00A506A5">
      <w:pPr>
        <w:keepLines/>
        <w:overflowPunct w:val="0"/>
        <w:autoSpaceDE w:val="0"/>
        <w:spacing w:after="240"/>
        <w:jc w:val="center"/>
      </w:pPr>
      <w:r>
        <w:rPr>
          <w:noProof/>
          <w:sz w:val="16"/>
          <w:szCs w:val="16"/>
        </w:rPr>
        <w:drawing>
          <wp:inline distT="0" distB="0" distL="0" distR="0" wp14:anchorId="69D7D1FA" wp14:editId="179F61C7">
            <wp:extent cx="2373352" cy="3449372"/>
            <wp:effectExtent l="0" t="0" r="7898" b="0"/>
            <wp:docPr id="13" name="Picture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rcRect/>
                    <a:stretch>
                      <a:fillRect/>
                    </a:stretch>
                  </pic:blipFill>
                  <pic:spPr>
                    <a:xfrm>
                      <a:off x="0" y="0"/>
                      <a:ext cx="2373352" cy="3449372"/>
                    </a:xfrm>
                    <a:prstGeom prst="rect">
                      <a:avLst/>
                    </a:prstGeom>
                    <a:noFill/>
                    <a:ln>
                      <a:noFill/>
                      <a:prstDash/>
                    </a:ln>
                  </pic:spPr>
                </pic:pic>
              </a:graphicData>
            </a:graphic>
          </wp:inline>
        </w:drawing>
      </w:r>
    </w:p>
    <w:p w14:paraId="722E7E51" w14:textId="77777777" w:rsidR="00AE46EE" w:rsidRDefault="00AE46EE">
      <w:pPr>
        <w:keepLines/>
        <w:overflowPunct w:val="0"/>
        <w:autoSpaceDE w:val="0"/>
        <w:spacing w:after="240"/>
        <w:jc w:val="center"/>
      </w:pPr>
      <w:r>
        <w:t xml:space="preserve">Figure 5-1: Flow chart for </w:t>
      </w:r>
      <w:proofErr w:type="spellStart"/>
      <w:r>
        <w:t>inband</w:t>
      </w:r>
      <w:proofErr w:type="spellEnd"/>
      <w:r>
        <w:t xml:space="preserve"> unwanted emissions (including ACLR)</w:t>
      </w:r>
    </w:p>
    <w:p w14:paraId="7A7717A7" w14:textId="77777777" w:rsidR="00D30E94" w:rsidRDefault="00D30E94">
      <w:pPr>
        <w:keepNext/>
        <w:spacing w:after="0"/>
        <w:rPr>
          <w:shd w:val="clear" w:color="auto" w:fill="FFFF00"/>
        </w:rPr>
      </w:pPr>
    </w:p>
    <w:p w14:paraId="1259E5CF" w14:textId="7142EFD9" w:rsidR="00D30E94" w:rsidRDefault="00454AA2">
      <w:pPr>
        <w:pStyle w:val="Heading1"/>
      </w:pPr>
      <w:r>
        <w:t xml:space="preserve">Appendix </w:t>
      </w:r>
      <w:r w:rsidR="00A506A5">
        <w:t xml:space="preserve">A </w:t>
      </w:r>
      <w:r w:rsidR="00A506A5">
        <w:tab/>
        <w:t>Full sphere grid</w:t>
      </w:r>
    </w:p>
    <w:p w14:paraId="1DD1F73D" w14:textId="77777777" w:rsidR="00D30E94" w:rsidRDefault="00A506A5">
      <w:pPr>
        <w:spacing w:after="0"/>
        <w:jc w:val="both"/>
        <w:rPr>
          <w:rFonts w:ascii="Times New Roman" w:eastAsia="Times New Roman" w:hAnsi="Times New Roman"/>
          <w:szCs w:val="20"/>
          <w:lang w:eastAsia="ja-JP"/>
        </w:rPr>
      </w:pPr>
      <w:r>
        <w:rPr>
          <w:rFonts w:ascii="Times New Roman" w:eastAsia="Times New Roman" w:hAnsi="Times New Roman"/>
          <w:szCs w:val="20"/>
          <w:lang w:eastAsia="ja-JP"/>
        </w:rPr>
        <w:t>The contribution to the TRP from a spherical grid is calculated by a numerical integration of (1.6) using power density values.  The following formula can be used</w:t>
      </w:r>
    </w:p>
    <w:p w14:paraId="1B06AC1D" w14:textId="77777777" w:rsidR="00D30E94" w:rsidRDefault="00D30E94">
      <w:pPr>
        <w:spacing w:after="0"/>
        <w:jc w:val="both"/>
        <w:rPr>
          <w:rFonts w:ascii="Times New Roman" w:eastAsia="Times New Roman" w:hAnsi="Times New Roman"/>
          <w:szCs w:val="20"/>
          <w:lang w:eastAsia="ja-JP"/>
        </w:rPr>
      </w:pPr>
    </w:p>
    <w:p w14:paraId="6A059CEA" w14:textId="77777777" w:rsidR="00D30E94" w:rsidRDefault="00A506A5">
      <w:pPr>
        <w:spacing w:after="0"/>
        <w:jc w:val="center"/>
      </w:pPr>
      <w:r>
        <w:rPr>
          <w:rFonts w:ascii="Times New Roman" w:eastAsia="Times New Roman" w:hAnsi="Times New Roman"/>
          <w:noProof/>
          <w:szCs w:val="20"/>
          <w:lang w:eastAsia="ja-JP"/>
        </w:rPr>
        <w:drawing>
          <wp:inline distT="0" distB="0" distL="0" distR="0" wp14:anchorId="4F781F5E" wp14:editId="4E582832">
            <wp:extent cx="2438403" cy="292608"/>
            <wp:effectExtent l="0" t="0" r="0" b="0"/>
            <wp:docPr id="15" name="Pictur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438403" cy="292608"/>
                    </a:xfrm>
                    <a:prstGeom prst="rect">
                      <a:avLst/>
                    </a:prstGeom>
                    <a:noFill/>
                    <a:ln>
                      <a:noFill/>
                      <a:prstDash/>
                    </a:ln>
                  </pic:spPr>
                </pic:pic>
              </a:graphicData>
            </a:graphic>
          </wp:inline>
        </w:drawing>
      </w:r>
      <w:r>
        <w:rPr>
          <w:rFonts w:ascii="Times New Roman" w:eastAsia="Times New Roman" w:hAnsi="Times New Roman"/>
          <w:szCs w:val="20"/>
          <w:lang w:eastAsia="ja-JP"/>
        </w:rPr>
        <w:tab/>
        <w:t>(A.1)</w:t>
      </w:r>
    </w:p>
    <w:p w14:paraId="7461A8AD" w14:textId="77777777" w:rsidR="00D30E94" w:rsidRDefault="00A506A5">
      <w:pPr>
        <w:jc w:val="both"/>
      </w:pPr>
      <w:r>
        <w:rPr>
          <w:rFonts w:ascii="Times New Roman" w:eastAsia="Times New Roman" w:hAnsi="Times New Roman"/>
          <w:szCs w:val="20"/>
          <w:lang w:eastAsia="ja-JP"/>
        </w:rPr>
        <w:t>For the case when far-field conditions are fulfilled EIRP is used</w:t>
      </w:r>
    </w:p>
    <w:p w14:paraId="6190F5B9" w14:textId="77777777" w:rsidR="00D30E94" w:rsidRDefault="00A506A5">
      <w:pPr>
        <w:jc w:val="center"/>
      </w:pPr>
      <w:r>
        <w:rPr>
          <w:rFonts w:ascii="Times New Roman" w:eastAsia="Times New Roman" w:hAnsi="Times New Roman"/>
          <w:noProof/>
          <w:szCs w:val="20"/>
          <w:lang w:eastAsia="ja-JP"/>
        </w:rPr>
        <w:drawing>
          <wp:inline distT="0" distB="0" distL="0" distR="0" wp14:anchorId="270AF835" wp14:editId="6AE0CE43">
            <wp:extent cx="2488695" cy="342900"/>
            <wp:effectExtent l="0" t="0" r="6855" b="0"/>
            <wp:docPr id="16"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488695" cy="342900"/>
                    </a:xfrm>
                    <a:prstGeom prst="rect">
                      <a:avLst/>
                    </a:prstGeom>
                    <a:noFill/>
                    <a:ln>
                      <a:noFill/>
                      <a:prstDash/>
                    </a:ln>
                  </pic:spPr>
                </pic:pic>
              </a:graphicData>
            </a:graphic>
          </wp:inline>
        </w:drawing>
      </w:r>
      <w:r>
        <w:rPr>
          <w:rFonts w:ascii="Times New Roman" w:eastAsia="Times New Roman" w:hAnsi="Times New Roman"/>
          <w:szCs w:val="20"/>
          <w:lang w:eastAsia="ja-JP"/>
        </w:rPr>
        <w:tab/>
        <w:t>(A.2)</w:t>
      </w:r>
    </w:p>
    <w:p w14:paraId="112FA43C" w14:textId="77777777" w:rsidR="00D30E94" w:rsidRDefault="00A506A5">
      <w:pPr>
        <w:pStyle w:val="B-Body"/>
        <w:ind w:left="0"/>
        <w:jc w:val="both"/>
      </w:pPr>
      <w:r>
        <w:rPr>
          <w:sz w:val="22"/>
          <w:szCs w:val="22"/>
          <w:lang w:eastAsia="ja-JP"/>
        </w:rPr>
        <w:t>Other grid point distributions on the sphere can of course be used with proper discretization.</w:t>
      </w:r>
    </w:p>
    <w:tbl>
      <w:tblPr>
        <w:tblW w:w="9350" w:type="dxa"/>
        <w:tblCellMar>
          <w:left w:w="10" w:type="dxa"/>
          <w:right w:w="10" w:type="dxa"/>
        </w:tblCellMar>
        <w:tblLook w:val="0000" w:firstRow="0" w:lastRow="0" w:firstColumn="0" w:lastColumn="0" w:noHBand="0" w:noVBand="0"/>
      </w:tblPr>
      <w:tblGrid>
        <w:gridCol w:w="9350"/>
      </w:tblGrid>
      <w:tr w:rsidR="00D30E94" w14:paraId="30D9FEAE" w14:textId="77777777">
        <w:trPr>
          <w:cantSplit/>
        </w:trPr>
        <w:tc>
          <w:tcPr>
            <w:tcW w:w="9350" w:type="dxa"/>
            <w:shd w:val="clear" w:color="auto" w:fill="auto"/>
            <w:tcMar>
              <w:top w:w="0" w:type="dxa"/>
              <w:left w:w="108" w:type="dxa"/>
              <w:bottom w:w="0" w:type="dxa"/>
              <w:right w:w="108" w:type="dxa"/>
            </w:tcMar>
          </w:tcPr>
          <w:p w14:paraId="6BBC4618" w14:textId="77777777" w:rsidR="00D30E94" w:rsidRDefault="00A506A5">
            <w:pPr>
              <w:pStyle w:val="B-Body"/>
              <w:ind w:left="0"/>
              <w:jc w:val="center"/>
            </w:pPr>
            <w:r>
              <w:rPr>
                <w:noProof/>
              </w:rPr>
              <w:lastRenderedPageBreak/>
              <w:drawing>
                <wp:inline distT="0" distB="0" distL="0" distR="0" wp14:anchorId="4D55C558" wp14:editId="6E80951C">
                  <wp:extent cx="2821975" cy="2751036"/>
                  <wp:effectExtent l="0" t="0" r="0" b="0"/>
                  <wp:docPr id="17"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rcRect/>
                          <a:stretch>
                            <a:fillRect/>
                          </a:stretch>
                        </pic:blipFill>
                        <pic:spPr>
                          <a:xfrm>
                            <a:off x="0" y="0"/>
                            <a:ext cx="2821975" cy="2751036"/>
                          </a:xfrm>
                          <a:prstGeom prst="rect">
                            <a:avLst/>
                          </a:prstGeom>
                          <a:noFill/>
                          <a:ln>
                            <a:noFill/>
                            <a:prstDash/>
                          </a:ln>
                        </pic:spPr>
                      </pic:pic>
                    </a:graphicData>
                  </a:graphic>
                </wp:inline>
              </w:drawing>
            </w:r>
          </w:p>
        </w:tc>
      </w:tr>
      <w:tr w:rsidR="00D30E94" w14:paraId="0BF59812" w14:textId="77777777">
        <w:trPr>
          <w:cantSplit/>
        </w:trPr>
        <w:tc>
          <w:tcPr>
            <w:tcW w:w="9350" w:type="dxa"/>
            <w:shd w:val="clear" w:color="auto" w:fill="auto"/>
            <w:tcMar>
              <w:top w:w="0" w:type="dxa"/>
              <w:left w:w="108" w:type="dxa"/>
              <w:bottom w:w="0" w:type="dxa"/>
              <w:right w:w="108" w:type="dxa"/>
            </w:tcMar>
          </w:tcPr>
          <w:p w14:paraId="360C2BB5" w14:textId="77777777" w:rsidR="00D30E94" w:rsidRDefault="00A506A5" w:rsidP="00C567E3">
            <w:pPr>
              <w:pStyle w:val="B-Body"/>
              <w:ind w:left="0"/>
              <w:jc w:val="center"/>
            </w:pPr>
            <w:r>
              <w:rPr>
                <w:lang w:eastAsia="ja-JP"/>
              </w:rPr>
              <w:t xml:space="preserve">Figure A-1: Full sphere grid using fixed steps in </w:t>
            </w:r>
            <m:oMath>
              <m:r>
                <w:rPr>
                  <w:rFonts w:ascii="Cambria Math" w:hAnsi="Cambria Math"/>
                </w:rPr>
                <m:t>θ</m:t>
              </m:r>
            </m:oMath>
            <w:r>
              <w:rPr>
                <w:lang w:eastAsia="ja-JP"/>
              </w:rPr>
              <w:t xml:space="preserve"> and </w:t>
            </w:r>
            <m:oMath>
              <m:r>
                <w:rPr>
                  <w:rFonts w:ascii="Cambria Math" w:hAnsi="Cambria Math"/>
                </w:rPr>
                <m:t>∅</m:t>
              </m:r>
            </m:oMath>
            <w:r>
              <w:rPr>
                <w:lang w:eastAsia="ja-JP"/>
              </w:rPr>
              <w:t>.</w:t>
            </w:r>
          </w:p>
        </w:tc>
      </w:tr>
    </w:tbl>
    <w:p w14:paraId="67D7B1CB" w14:textId="77777777" w:rsidR="00D30E94" w:rsidRDefault="00D30E94">
      <w:pPr>
        <w:rPr>
          <w:lang w:eastAsia="en-CA"/>
        </w:rPr>
      </w:pPr>
    </w:p>
    <w:p w14:paraId="58CCAEFB" w14:textId="72B34D8F" w:rsidR="00D30E94" w:rsidRDefault="00454AA2">
      <w:pPr>
        <w:pStyle w:val="Heading1"/>
      </w:pPr>
      <w:r>
        <w:t xml:space="preserve">Appendix </w:t>
      </w:r>
      <w:r w:rsidR="00A506A5">
        <w:t xml:space="preserve">B </w:t>
      </w:r>
      <w:r w:rsidR="00A506A5">
        <w:tab/>
        <w:t>Orthogonal cuts</w:t>
      </w:r>
    </w:p>
    <w:p w14:paraId="3F61C526" w14:textId="77777777" w:rsidR="00D30E94" w:rsidRDefault="00A506A5">
      <w:pPr>
        <w:jc w:val="both"/>
      </w:pPr>
      <w:r>
        <w:rPr>
          <w:rFonts w:ascii="Times New Roman" w:eastAsia="Times New Roman" w:hAnsi="Times New Roman"/>
          <w:szCs w:val="20"/>
        </w:rPr>
        <w:t xml:space="preserve">Use this method to calculate TRP if the grid type chosen is orthogonal cuts. In this method, at least two cuts (default) shall be used, an optional third cut can be added if needed. The alignment of the cuts must be according to the service area of the EUT if applicable. Let </w:t>
      </w:r>
      <m:oMath>
        <m:sSub>
          <m:sSubPr>
            <m:ctrlPr>
              <w:rPr>
                <w:rFonts w:ascii="Cambria Math" w:hAnsi="Cambria Math"/>
              </w:rPr>
            </m:ctrlPr>
          </m:sSubPr>
          <m:e>
            <m:r>
              <m:rPr>
                <m:sty m:val="p"/>
              </m:rPr>
              <w:rPr>
                <w:rFonts w:ascii="Cambria Math" w:hAnsi="Cambria Math"/>
              </w:rPr>
              <m:t>θ</m:t>
            </m:r>
          </m:e>
          <m:sub>
            <m:r>
              <w:rPr>
                <w:rFonts w:ascii="Cambria Math" w:hAnsi="Cambria Math"/>
              </w:rPr>
              <m:t>H</m:t>
            </m:r>
          </m:sub>
        </m:sSub>
      </m:oMath>
      <w:r>
        <w:rPr>
          <w:rFonts w:ascii="Times New Roman" w:eastAsia="Times New Roman" w:hAnsi="Times New Roman"/>
          <w:szCs w:val="20"/>
        </w:rPr>
        <w:t xml:space="preserve"> be the </w:t>
      </w:r>
      <m:oMath>
        <m:r>
          <m:rPr>
            <m:sty m:val="p"/>
          </m:rPr>
          <w:rPr>
            <w:rFonts w:ascii="Cambria Math" w:hAnsi="Cambria Math"/>
          </w:rPr>
          <m:t>θ</m:t>
        </m:r>
      </m:oMath>
      <w:r>
        <w:rPr>
          <w:rFonts w:ascii="Times New Roman" w:eastAsia="Times New Roman" w:hAnsi="Times New Roman"/>
          <w:szCs w:val="20"/>
        </w:rPr>
        <w:t xml:space="preserve"> angle at the center of the service area and </w:t>
      </w:r>
      <m:oMath>
        <m:sSub>
          <m:sSubPr>
            <m:ctrlPr>
              <w:rPr>
                <w:rFonts w:ascii="Cambria Math" w:hAnsi="Cambria Math"/>
              </w:rPr>
            </m:ctrlPr>
          </m:sSubPr>
          <m:e>
            <m:r>
              <m:rPr>
                <m:sty m:val="p"/>
              </m:rPr>
              <w:rPr>
                <w:rFonts w:ascii="Cambria Math" w:hAnsi="Cambria Math"/>
              </w:rPr>
              <m:t>ϕ</m:t>
            </m:r>
          </m:e>
          <m:sub>
            <m:r>
              <w:rPr>
                <w:rFonts w:ascii="Cambria Math" w:hAnsi="Cambria Math"/>
              </w:rPr>
              <m:t>V</m:t>
            </m:r>
          </m:sub>
        </m:sSub>
      </m:oMath>
      <w:r>
        <w:rPr>
          <w:rFonts w:ascii="Times New Roman" w:eastAsia="Times New Roman" w:hAnsi="Times New Roman"/>
          <w:szCs w:val="20"/>
        </w:rPr>
        <w:t xml:space="preserve"> be the azimuth angle at the center of the service area. If the service area is omni-directional </w:t>
      </w:r>
      <m:oMath>
        <m:sSub>
          <m:sSubPr>
            <m:ctrlPr>
              <w:rPr>
                <w:rFonts w:ascii="Cambria Math" w:hAnsi="Cambria Math"/>
              </w:rPr>
            </m:ctrlPr>
          </m:sSubPr>
          <m:e>
            <m:r>
              <m:rPr>
                <m:sty m:val="p"/>
              </m:rPr>
              <w:rPr>
                <w:rFonts w:ascii="Cambria Math" w:hAnsi="Cambria Math"/>
              </w:rPr>
              <m:t>ϕ</m:t>
            </m:r>
          </m:e>
          <m:sub>
            <m:r>
              <w:rPr>
                <w:rFonts w:ascii="Cambria Math" w:hAnsi="Cambria Math"/>
              </w:rPr>
              <m:t>v</m:t>
            </m:r>
          </m:sub>
        </m:sSub>
        <m:r>
          <w:rPr>
            <w:rFonts w:ascii="Cambria Math" w:hAnsi="Cambria Math"/>
          </w:rPr>
          <m:t>=0</m:t>
        </m:r>
      </m:oMath>
      <w:r>
        <w:rPr>
          <w:rFonts w:ascii="Times New Roman" w:eastAsia="Times New Roman" w:hAnsi="Times New Roman"/>
          <w:szCs w:val="20"/>
        </w:rPr>
        <w:t xml:space="preserve">. If the service area is not declared the angles </w:t>
      </w:r>
      <m:oMath>
        <m:sSub>
          <m:sSubPr>
            <m:ctrlPr>
              <w:rPr>
                <w:rFonts w:ascii="Cambria Math" w:hAnsi="Cambria Math"/>
              </w:rPr>
            </m:ctrlPr>
          </m:sSubPr>
          <m:e>
            <m:r>
              <m:rPr>
                <m:sty m:val="p"/>
              </m:rPr>
              <w:rPr>
                <w:rFonts w:ascii="Cambria Math" w:hAnsi="Cambria Math"/>
              </w:rPr>
              <m:t>θ</m:t>
            </m:r>
          </m:e>
          <m:sub>
            <m:r>
              <w:rPr>
                <w:rFonts w:ascii="Cambria Math" w:hAnsi="Cambria Math"/>
              </w:rPr>
              <m:t>H</m:t>
            </m:r>
          </m:sub>
        </m:sSub>
      </m:oMath>
      <w:r>
        <w:rPr>
          <w:rFonts w:ascii="Times New Roman" w:eastAsia="Times New Roman" w:hAnsi="Times New Roman"/>
          <w:szCs w:val="20"/>
        </w:rPr>
        <w:t xml:space="preserve"> and </w:t>
      </w:r>
      <m:oMath>
        <m:sSub>
          <m:sSubPr>
            <m:ctrlPr>
              <w:rPr>
                <w:rFonts w:ascii="Cambria Math" w:hAnsi="Cambria Math"/>
              </w:rPr>
            </m:ctrlPr>
          </m:sSubPr>
          <m:e>
            <m:r>
              <m:rPr>
                <m:sty m:val="p"/>
              </m:rPr>
              <w:rPr>
                <w:rFonts w:ascii="Cambria Math" w:hAnsi="Cambria Math"/>
              </w:rPr>
              <m:t>ϕ</m:t>
            </m:r>
          </m:e>
          <m:sub>
            <m:r>
              <w:rPr>
                <w:rFonts w:ascii="Cambria Math" w:hAnsi="Cambria Math"/>
              </w:rPr>
              <m:t>V</m:t>
            </m:r>
          </m:sub>
        </m:sSub>
      </m:oMath>
      <w:r>
        <w:rPr>
          <w:rFonts w:ascii="Times New Roman" w:eastAsia="Times New Roman" w:hAnsi="Times New Roman"/>
          <w:szCs w:val="20"/>
        </w:rPr>
        <w:t xml:space="preserve"> area defined by the nominal peak direction of the main beam in the operating band. If emissions are measured in adjacent bands, then </w:t>
      </w:r>
      <m:oMath>
        <m:sSub>
          <m:sSubPr>
            <m:ctrlPr>
              <w:rPr>
                <w:rFonts w:ascii="Cambria Math" w:hAnsi="Cambria Math"/>
              </w:rPr>
            </m:ctrlPr>
          </m:sSubPr>
          <m:e>
            <m:r>
              <m:rPr>
                <m:sty m:val="p"/>
              </m:rPr>
              <w:rPr>
                <w:rFonts w:ascii="Cambria Math" w:hAnsi="Cambria Math"/>
              </w:rPr>
              <m:t>θ</m:t>
            </m:r>
          </m:e>
          <m:sub>
            <m:r>
              <w:rPr>
                <w:rFonts w:ascii="Cambria Math" w:hAnsi="Cambria Math"/>
              </w:rPr>
              <m:t>H</m:t>
            </m:r>
          </m:sub>
        </m:sSub>
      </m:oMath>
      <w:r>
        <w:rPr>
          <w:rFonts w:ascii="Times New Roman" w:eastAsia="Times New Roman" w:hAnsi="Times New Roman"/>
          <w:szCs w:val="20"/>
        </w:rPr>
        <w:t xml:space="preserve"> and </w:t>
      </w:r>
      <m:oMath>
        <m:sSub>
          <m:sSubPr>
            <m:ctrlPr>
              <w:rPr>
                <w:rFonts w:ascii="Cambria Math" w:hAnsi="Cambria Math"/>
              </w:rPr>
            </m:ctrlPr>
          </m:sSubPr>
          <m:e>
            <m:r>
              <m:rPr>
                <m:sty m:val="p"/>
              </m:rPr>
              <w:rPr>
                <w:rFonts w:ascii="Cambria Math" w:hAnsi="Cambria Math"/>
              </w:rPr>
              <m:t>ϕ</m:t>
            </m:r>
          </m:e>
          <m:sub>
            <m:r>
              <w:rPr>
                <w:rFonts w:ascii="Cambria Math" w:hAnsi="Cambria Math"/>
              </w:rPr>
              <m:t>V</m:t>
            </m:r>
          </m:sub>
        </m:sSub>
      </m:oMath>
      <w:r>
        <w:rPr>
          <w:rFonts w:ascii="Times New Roman" w:eastAsia="Times New Roman" w:hAnsi="Times New Roman"/>
          <w:szCs w:val="20"/>
        </w:rPr>
        <w:t xml:space="preserve"> is the direction of maximum emissions.</w:t>
      </w:r>
    </w:p>
    <w:p w14:paraId="4F4FEADD" w14:textId="77777777" w:rsidR="00D30E94" w:rsidRDefault="00A506A5">
      <w:pPr>
        <w:jc w:val="both"/>
      </w:pPr>
      <w:r>
        <w:rPr>
          <w:rFonts w:ascii="Times New Roman" w:eastAsia="Times New Roman" w:hAnsi="Times New Roman"/>
          <w:szCs w:val="20"/>
        </w:rPr>
        <w:t xml:space="preserve">The first mandatory cut is a planar, or conical cut, defined by </w:t>
      </w:r>
      <m:oMath>
        <m:r>
          <m:rPr>
            <m:sty m:val="p"/>
          </m:rPr>
          <w:rPr>
            <w:rFonts w:ascii="Cambria Math" w:hAnsi="Cambria Math"/>
          </w:rPr>
          <m:t>θ</m:t>
        </m:r>
        <m:r>
          <w:rPr>
            <w:rFonts w:ascii="Cambria Math" w:hAnsi="Cambria Math"/>
          </w:rPr>
          <m:t>=</m:t>
        </m:r>
        <m:sSub>
          <m:sSubPr>
            <m:ctrlPr>
              <w:rPr>
                <w:rFonts w:ascii="Cambria Math" w:hAnsi="Cambria Math"/>
              </w:rPr>
            </m:ctrlPr>
          </m:sSubPr>
          <m:e>
            <m:r>
              <m:rPr>
                <m:sty m:val="p"/>
              </m:rPr>
              <w:rPr>
                <w:rFonts w:ascii="Cambria Math" w:hAnsi="Cambria Math"/>
              </w:rPr>
              <m:t>θ</m:t>
            </m:r>
          </m:e>
          <m:sub>
            <m:r>
              <w:rPr>
                <w:rFonts w:ascii="Cambria Math" w:hAnsi="Cambria Math"/>
              </w:rPr>
              <m:t>H</m:t>
            </m:r>
          </m:sub>
        </m:sSub>
      </m:oMath>
      <w:r>
        <w:rPr>
          <w:rFonts w:ascii="Times New Roman" w:eastAsia="Times New Roman" w:hAnsi="Times New Roman"/>
          <w:szCs w:val="20"/>
        </w:rPr>
        <w:t xml:space="preserve"> and </w:t>
      </w:r>
      <m:oMath>
        <m:r>
          <m:rPr>
            <m:sty m:val="p"/>
          </m:rPr>
          <w:rPr>
            <w:rFonts w:ascii="Cambria Math" w:hAnsi="Cambria Math"/>
          </w:rPr>
          <m:t>ϕ</m:t>
        </m:r>
        <m:r>
          <w:rPr>
            <w:rFonts w:ascii="Cambria Math" w:hAnsi="Cambria Math"/>
          </w:rPr>
          <m:t>∈</m:t>
        </m:r>
        <m:d>
          <m:dPr>
            <m:begChr m:val="["/>
            <m:endChr m:val="]"/>
            <m:ctrlPr>
              <w:rPr>
                <w:rFonts w:ascii="Cambria Math" w:hAnsi="Cambria Math"/>
              </w:rPr>
            </m:ctrlPr>
          </m:dPr>
          <m:e>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360</m:t>
                </m:r>
              </m:e>
              <m:sup>
                <m:r>
                  <w:rPr>
                    <w:rFonts w:ascii="Cambria Math" w:hAnsi="Cambria Math"/>
                  </w:rPr>
                  <m:t>∘</m:t>
                </m:r>
              </m:sup>
            </m:sSup>
          </m:e>
        </m:d>
      </m:oMath>
      <w:r>
        <w:rPr>
          <w:rFonts w:ascii="Times New Roman" w:eastAsia="Times New Roman" w:hAnsi="Times New Roman"/>
          <w:szCs w:val="20"/>
        </w:rPr>
        <w:t xml:space="preserve"> with </w:t>
      </w:r>
      <m:oMath>
        <m:r>
          <m:rPr>
            <m:sty m:val="p"/>
          </m:rPr>
          <w:rPr>
            <w:rFonts w:ascii="Cambria Math" w:hAnsi="Cambria Math"/>
          </w:rPr>
          <m:t>Δϕ</m:t>
        </m:r>
      </m:oMath>
      <w:r>
        <w:rPr>
          <w:rFonts w:ascii="Times New Roman" w:eastAsia="Times New Roman" w:hAnsi="Times New Roman"/>
          <w:szCs w:val="20"/>
        </w:rPr>
        <w:t xml:space="preserve"> given by the overall TRP algorithm.</w:t>
      </w:r>
    </w:p>
    <w:p w14:paraId="5601EC4D" w14:textId="77777777" w:rsidR="00D30E94" w:rsidRDefault="00A506A5">
      <w:pPr>
        <w:jc w:val="both"/>
      </w:pPr>
      <w:r>
        <w:rPr>
          <w:rFonts w:ascii="Times New Roman" w:eastAsia="Times New Roman" w:hAnsi="Times New Roman"/>
          <w:szCs w:val="20"/>
        </w:rPr>
        <w:t xml:space="preserve">The second mandatory cut is a vertical cut defined by </w:t>
      </w:r>
      <m:oMath>
        <m:r>
          <m:rPr>
            <m:sty m:val="p"/>
          </m:rPr>
          <w:rPr>
            <w:rFonts w:ascii="Cambria Math" w:hAnsi="Cambria Math"/>
          </w:rPr>
          <m:t>ϕ</m:t>
        </m:r>
        <m:r>
          <w:rPr>
            <w:rFonts w:ascii="Cambria Math" w:hAnsi="Cambria Math"/>
          </w:rPr>
          <m:t>=</m:t>
        </m:r>
        <m:sSub>
          <m:sSubPr>
            <m:ctrlPr>
              <w:rPr>
                <w:rFonts w:ascii="Cambria Math" w:hAnsi="Cambria Math"/>
              </w:rPr>
            </m:ctrlPr>
          </m:sSubPr>
          <m:e>
            <m:r>
              <m:rPr>
                <m:sty m:val="p"/>
              </m:rPr>
              <w:rPr>
                <w:rFonts w:ascii="Cambria Math" w:hAnsi="Cambria Math"/>
              </w:rPr>
              <m:t>ϕ</m:t>
            </m:r>
          </m:e>
          <m:sub>
            <m:r>
              <w:rPr>
                <w:rFonts w:ascii="Cambria Math" w:hAnsi="Cambria Math"/>
              </w:rPr>
              <m:t>V</m:t>
            </m:r>
          </m:sub>
        </m:sSub>
      </m:oMath>
      <w:r>
        <w:rPr>
          <w:rFonts w:ascii="Times New Roman" w:eastAsia="Times New Roman" w:hAnsi="Times New Roman"/>
          <w:szCs w:val="20"/>
        </w:rPr>
        <w:t xml:space="preserve"> and </w:t>
      </w:r>
      <m:oMath>
        <m:r>
          <m:rPr>
            <m:sty m:val="p"/>
          </m:rPr>
          <w:rPr>
            <w:rFonts w:ascii="Cambria Math" w:hAnsi="Cambria Math"/>
          </w:rPr>
          <m:t>θ</m:t>
        </m:r>
        <m:r>
          <w:rPr>
            <w:rFonts w:ascii="Cambria Math" w:hAnsi="Cambria Math"/>
          </w:rPr>
          <m:t>∈</m:t>
        </m:r>
        <m:d>
          <m:dPr>
            <m:begChr m:val="["/>
            <m:endChr m:val="]"/>
            <m:ctrlPr>
              <w:rPr>
                <w:rFonts w:ascii="Cambria Math" w:hAnsi="Cambria Math"/>
              </w:rPr>
            </m:ctrlPr>
          </m:dPr>
          <m:e>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360</m:t>
                </m:r>
              </m:e>
              <m:sup>
                <m:r>
                  <w:rPr>
                    <w:rFonts w:ascii="Cambria Math" w:hAnsi="Cambria Math"/>
                  </w:rPr>
                  <m:t>∘</m:t>
                </m:r>
              </m:sup>
            </m:sSup>
          </m:e>
        </m:d>
      </m:oMath>
      <w:r>
        <w:rPr>
          <w:rFonts w:ascii="Times New Roman" w:eastAsia="Times New Roman" w:hAnsi="Times New Roman"/>
          <w:szCs w:val="20"/>
        </w:rPr>
        <w:t xml:space="preserve"> with </w:t>
      </w:r>
      <m:oMath>
        <m:r>
          <m:rPr>
            <m:sty m:val="p"/>
          </m:rPr>
          <w:rPr>
            <w:rFonts w:ascii="Cambria Math" w:hAnsi="Cambria Math"/>
          </w:rPr>
          <m:t>Δθ</m:t>
        </m:r>
      </m:oMath>
      <w:r>
        <w:rPr>
          <w:rFonts w:ascii="Times New Roman" w:eastAsia="Times New Roman" w:hAnsi="Times New Roman"/>
          <w:szCs w:val="20"/>
        </w:rPr>
        <w:t xml:space="preserve"> given by the overall algorithm.</w:t>
      </w:r>
    </w:p>
    <w:p w14:paraId="3441A02A" w14:textId="77777777" w:rsidR="00D30E94" w:rsidRDefault="00A506A5">
      <w:pPr>
        <w:jc w:val="both"/>
      </w:pPr>
      <w:r>
        <w:rPr>
          <w:rFonts w:ascii="Times New Roman" w:eastAsia="Times New Roman" w:hAnsi="Times New Roman"/>
          <w:szCs w:val="20"/>
        </w:rPr>
        <w:t xml:space="preserve">The third optional cut is a vertical cut at </w:t>
      </w:r>
      <m:oMath>
        <m:r>
          <m:rPr>
            <m:sty m:val="p"/>
          </m:rPr>
          <w:rPr>
            <w:rFonts w:ascii="Cambria Math" w:hAnsi="Cambria Math"/>
          </w:rPr>
          <m:t>ϕ</m:t>
        </m:r>
        <m:r>
          <w:rPr>
            <w:rFonts w:ascii="Cambria Math" w:hAnsi="Cambria Math"/>
          </w:rPr>
          <m:t>=</m:t>
        </m:r>
        <m:sSub>
          <m:sSubPr>
            <m:ctrlPr>
              <w:rPr>
                <w:rFonts w:ascii="Cambria Math" w:hAnsi="Cambria Math"/>
              </w:rPr>
            </m:ctrlPr>
          </m:sSubPr>
          <m:e>
            <m:r>
              <m:rPr>
                <m:sty m:val="p"/>
              </m:rPr>
              <w:rPr>
                <w:rFonts w:ascii="Cambria Math" w:hAnsi="Cambria Math"/>
              </w:rPr>
              <m:t>ϕ</m:t>
            </m:r>
          </m:e>
          <m:sub>
            <m:r>
              <w:rPr>
                <w:rFonts w:ascii="Cambria Math" w:hAnsi="Cambria Math"/>
              </w:rPr>
              <m:t>V</m:t>
            </m:r>
          </m:sub>
        </m:sSub>
        <m:r>
          <w:rPr>
            <w:rFonts w:ascii="Cambria Math" w:hAnsi="Cambria Math"/>
          </w:rPr>
          <m:t>+</m:t>
        </m:r>
        <m:sSup>
          <m:sSupPr>
            <m:ctrlPr>
              <w:rPr>
                <w:rFonts w:ascii="Cambria Math" w:hAnsi="Cambria Math"/>
              </w:rPr>
            </m:ctrlPr>
          </m:sSupPr>
          <m:e>
            <m:r>
              <w:rPr>
                <w:rFonts w:ascii="Cambria Math" w:hAnsi="Cambria Math"/>
              </w:rPr>
              <m:t>90</m:t>
            </m:r>
          </m:e>
          <m:sup>
            <m:r>
              <w:rPr>
                <w:rFonts w:ascii="Cambria Math" w:hAnsi="Cambria Math"/>
              </w:rPr>
              <m:t>∘</m:t>
            </m:r>
          </m:sup>
        </m:sSup>
      </m:oMath>
      <w:r>
        <w:rPr>
          <w:rFonts w:ascii="Times New Roman" w:eastAsia="Times New Roman" w:hAnsi="Times New Roman"/>
          <w:szCs w:val="20"/>
        </w:rPr>
        <w:t xml:space="preserve"> and </w:t>
      </w:r>
      <m:oMath>
        <m:r>
          <m:rPr>
            <m:sty m:val="p"/>
          </m:rPr>
          <w:rPr>
            <w:rFonts w:ascii="Cambria Math" w:hAnsi="Cambria Math"/>
          </w:rPr>
          <m:t>θ</m:t>
        </m:r>
        <m:r>
          <w:rPr>
            <w:rFonts w:ascii="Cambria Math" w:hAnsi="Cambria Math"/>
          </w:rPr>
          <m:t>∈</m:t>
        </m:r>
        <m:d>
          <m:dPr>
            <m:begChr m:val="["/>
            <m:endChr m:val="]"/>
            <m:ctrlPr>
              <w:rPr>
                <w:rFonts w:ascii="Cambria Math" w:hAnsi="Cambria Math"/>
              </w:rPr>
            </m:ctrlPr>
          </m:dPr>
          <m:e>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360</m:t>
                </m:r>
              </m:e>
              <m:sup>
                <m:r>
                  <w:rPr>
                    <w:rFonts w:ascii="Cambria Math" w:hAnsi="Cambria Math"/>
                  </w:rPr>
                  <m:t>∘</m:t>
                </m:r>
              </m:sup>
            </m:sSup>
          </m:e>
        </m:d>
      </m:oMath>
      <w:r>
        <w:rPr>
          <w:rFonts w:ascii="Times New Roman" w:eastAsia="Times New Roman" w:hAnsi="Times New Roman"/>
          <w:szCs w:val="20"/>
        </w:rPr>
        <w:t xml:space="preserve"> with </w:t>
      </w:r>
      <m:oMath>
        <m:r>
          <m:rPr>
            <m:sty m:val="p"/>
          </m:rPr>
          <w:rPr>
            <w:rFonts w:ascii="Cambria Math" w:hAnsi="Cambria Math"/>
          </w:rPr>
          <m:t>Δθ</m:t>
        </m:r>
      </m:oMath>
      <w:r>
        <w:rPr>
          <w:rFonts w:ascii="Times New Roman" w:eastAsia="Times New Roman" w:hAnsi="Times New Roman"/>
          <w:szCs w:val="20"/>
        </w:rPr>
        <w:t xml:space="preserve"> given by the overall algorithm.</w:t>
      </w:r>
    </w:p>
    <w:p w14:paraId="3B803DAD" w14:textId="77777777" w:rsidR="00D30E94" w:rsidRDefault="00A506A5">
      <w:r>
        <w:t>Once the number and the orientation of the cuts are decided, the total EIRP is measured on the orthogonal cuts and the TRP is then calculated as follows: First the contributions from each cut is calculated as</w:t>
      </w:r>
    </w:p>
    <w:p w14:paraId="41CADD8E" w14:textId="77777777" w:rsidR="00D30E94" w:rsidRDefault="00A506A5">
      <w:pPr>
        <w:jc w:val="center"/>
      </w:pPr>
      <w:r>
        <w:rPr>
          <w:rFonts w:ascii="Times New Roman" w:eastAsia="Times New Roman" w:hAnsi="Times New Roman"/>
          <w:noProof/>
          <w:szCs w:val="20"/>
        </w:rPr>
        <w:drawing>
          <wp:inline distT="0" distB="0" distL="0" distR="0" wp14:anchorId="55E552B3" wp14:editId="59A27CDC">
            <wp:extent cx="1397514" cy="152403"/>
            <wp:effectExtent l="0" t="0" r="0" b="0"/>
            <wp:docPr id="18" name="Pictur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1397514" cy="152403"/>
                    </a:xfrm>
                    <a:prstGeom prst="rect">
                      <a:avLst/>
                    </a:prstGeom>
                    <a:noFill/>
                    <a:ln>
                      <a:noFill/>
                      <a:prstDash/>
                    </a:ln>
                  </pic:spPr>
                </pic:pic>
              </a:graphicData>
            </a:graphic>
          </wp:inline>
        </w:drawing>
      </w:r>
      <w:r>
        <w:rPr>
          <w:rFonts w:ascii="Times New Roman" w:eastAsia="Times New Roman" w:hAnsi="Times New Roman"/>
          <w:szCs w:val="20"/>
        </w:rPr>
        <w:tab/>
        <w:t>(B.1)</w:t>
      </w:r>
    </w:p>
    <w:p w14:paraId="1EA263E9" w14:textId="77777777" w:rsidR="00D30E94" w:rsidRDefault="00A506A5">
      <w:pPr>
        <w:jc w:val="both"/>
        <w:rPr>
          <w:rFonts w:ascii="Times New Roman" w:eastAsia="Times New Roman" w:hAnsi="Times New Roman"/>
          <w:szCs w:val="20"/>
        </w:rPr>
      </w:pPr>
      <w:r>
        <w:rPr>
          <w:rFonts w:ascii="Times New Roman" w:eastAsia="Times New Roman" w:hAnsi="Times New Roman"/>
          <w:szCs w:val="20"/>
        </w:rPr>
        <w:t>or if EIRP values are used</w:t>
      </w:r>
    </w:p>
    <w:p w14:paraId="56DF9485" w14:textId="77777777" w:rsidR="00D30E94" w:rsidRDefault="00A506A5">
      <w:pPr>
        <w:jc w:val="center"/>
      </w:pPr>
      <w:r>
        <w:rPr>
          <w:rFonts w:ascii="Times New Roman" w:eastAsia="Times New Roman" w:hAnsi="Times New Roman"/>
          <w:noProof/>
          <w:szCs w:val="20"/>
        </w:rPr>
        <w:lastRenderedPageBreak/>
        <w:drawing>
          <wp:inline distT="0" distB="0" distL="0" distR="0" wp14:anchorId="499CE9F9" wp14:editId="23C8DE6F">
            <wp:extent cx="1283214" cy="152403"/>
            <wp:effectExtent l="0" t="0" r="0" b="0"/>
            <wp:docPr id="19" name="Picture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1283214" cy="152403"/>
                    </a:xfrm>
                    <a:prstGeom prst="rect">
                      <a:avLst/>
                    </a:prstGeom>
                    <a:noFill/>
                    <a:ln>
                      <a:noFill/>
                      <a:prstDash/>
                    </a:ln>
                  </pic:spPr>
                </pic:pic>
              </a:graphicData>
            </a:graphic>
          </wp:inline>
        </w:drawing>
      </w:r>
      <w:r>
        <w:rPr>
          <w:rFonts w:ascii="Times New Roman" w:eastAsia="Times New Roman" w:hAnsi="Times New Roman"/>
          <w:szCs w:val="20"/>
        </w:rPr>
        <w:tab/>
      </w:r>
      <w:r>
        <w:rPr>
          <w:rFonts w:ascii="Times New Roman" w:eastAsia="Times New Roman" w:hAnsi="Times New Roman"/>
          <w:szCs w:val="20"/>
        </w:rPr>
        <w:tab/>
        <w:t>(B.2)</w:t>
      </w:r>
    </w:p>
    <w:p w14:paraId="5A5198F8" w14:textId="77777777" w:rsidR="00D30E94" w:rsidRDefault="00A506A5">
      <w:pPr>
        <w:jc w:val="both"/>
        <w:rPr>
          <w:rFonts w:ascii="Times New Roman" w:eastAsia="Times New Roman" w:hAnsi="Times New Roman"/>
          <w:szCs w:val="20"/>
        </w:rPr>
      </w:pPr>
      <w:r>
        <w:rPr>
          <w:rFonts w:ascii="Times New Roman" w:eastAsia="Times New Roman" w:hAnsi="Times New Roman"/>
          <w:szCs w:val="20"/>
        </w:rPr>
        <w:t>Here, overlining denotes angular average value in the cut. The final contribution for all cuts are calculated as</w:t>
      </w:r>
    </w:p>
    <w:p w14:paraId="07663618" w14:textId="77777777" w:rsidR="00D30E94" w:rsidRDefault="00A506A5">
      <w:pPr>
        <w:jc w:val="center"/>
      </w:pPr>
      <w:r>
        <w:rPr>
          <w:rFonts w:ascii="Times New Roman" w:eastAsia="Times New Roman" w:hAnsi="Times New Roman"/>
          <w:noProof/>
          <w:szCs w:val="20"/>
        </w:rPr>
        <w:drawing>
          <wp:inline distT="0" distB="0" distL="0" distR="0" wp14:anchorId="6C0A0E28" wp14:editId="58CDF975">
            <wp:extent cx="1549908" cy="368804"/>
            <wp:effectExtent l="0" t="0" r="0" b="0"/>
            <wp:docPr id="20" name="Pictur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1549908" cy="368804"/>
                    </a:xfrm>
                    <a:prstGeom prst="rect">
                      <a:avLst/>
                    </a:prstGeom>
                    <a:noFill/>
                    <a:ln>
                      <a:noFill/>
                      <a:prstDash/>
                    </a:ln>
                  </pic:spPr>
                </pic:pic>
              </a:graphicData>
            </a:graphic>
          </wp:inline>
        </w:drawing>
      </w:r>
      <w:r>
        <w:rPr>
          <w:rFonts w:ascii="Times New Roman" w:eastAsia="Times New Roman" w:hAnsi="Times New Roman"/>
          <w:szCs w:val="20"/>
        </w:rPr>
        <w:tab/>
      </w:r>
      <w:r>
        <w:rPr>
          <w:rFonts w:ascii="Times New Roman" w:eastAsia="Times New Roman" w:hAnsi="Times New Roman"/>
          <w:szCs w:val="20"/>
        </w:rPr>
        <w:tab/>
        <w:t>(B.3)</w:t>
      </w:r>
    </w:p>
    <w:p w14:paraId="7735DB95" w14:textId="77777777" w:rsidR="00D30E94" w:rsidRDefault="00A506A5">
      <w:pPr>
        <w:jc w:val="both"/>
      </w:pPr>
      <w:r>
        <w:rPr>
          <w:rFonts w:ascii="Times New Roman" w:eastAsia="Times New Roman" w:hAnsi="Times New Roman"/>
          <w:bCs/>
          <w:szCs w:val="20"/>
        </w:rPr>
        <w:t>Where N is the number of cuts</w:t>
      </w:r>
      <w:r>
        <w:t>. Note that when orthogonal cuts are measured, the intersection points are measured multiple times and the repeated values can be removed from the samples before averaging.</w:t>
      </w:r>
    </w:p>
    <w:tbl>
      <w:tblPr>
        <w:tblW w:w="9350" w:type="dxa"/>
        <w:tblCellMar>
          <w:left w:w="10" w:type="dxa"/>
          <w:right w:w="10" w:type="dxa"/>
        </w:tblCellMar>
        <w:tblLook w:val="0000" w:firstRow="0" w:lastRow="0" w:firstColumn="0" w:lastColumn="0" w:noHBand="0" w:noVBand="0"/>
      </w:tblPr>
      <w:tblGrid>
        <w:gridCol w:w="4675"/>
        <w:gridCol w:w="4675"/>
      </w:tblGrid>
      <w:tr w:rsidR="00D30E94" w14:paraId="2549A6E9" w14:textId="77777777">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35CB0D" w14:textId="77777777" w:rsidR="00D30E94" w:rsidRDefault="00A506A5">
            <w:pPr>
              <w:pStyle w:val="Caption"/>
            </w:pPr>
            <w:r>
              <w:rPr>
                <w:rFonts w:ascii="Times New Roman" w:eastAsia="Times New Roman" w:hAnsi="Times New Roman"/>
                <w:b w:val="0"/>
                <w:bCs w:val="0"/>
                <w:noProof/>
                <w:color w:val="auto"/>
                <w:sz w:val="22"/>
                <w:szCs w:val="20"/>
              </w:rPr>
              <w:drawing>
                <wp:inline distT="0" distB="0" distL="0" distR="0" wp14:anchorId="70E7F11E" wp14:editId="0D19F028">
                  <wp:extent cx="2752728" cy="2733671"/>
                  <wp:effectExtent l="0" t="0" r="9522" b="0"/>
                  <wp:docPr id="21"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rcRect/>
                          <a:stretch>
                            <a:fillRect/>
                          </a:stretch>
                        </pic:blipFill>
                        <pic:spPr>
                          <a:xfrm>
                            <a:off x="0" y="0"/>
                            <a:ext cx="2752728" cy="2733671"/>
                          </a:xfrm>
                          <a:prstGeom prst="rect">
                            <a:avLst/>
                          </a:prstGeom>
                          <a:noFill/>
                          <a:ln>
                            <a:noFill/>
                            <a:prstDash/>
                          </a:ln>
                        </pic:spPr>
                      </pic:pic>
                    </a:graphicData>
                  </a:graphic>
                </wp:inline>
              </w:drawing>
            </w:r>
          </w:p>
        </w:tc>
        <w:tc>
          <w:tcPr>
            <w:tcW w:w="4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BBAF86" w14:textId="77777777" w:rsidR="00D30E94" w:rsidRDefault="00A506A5">
            <w:pPr>
              <w:pStyle w:val="Caption"/>
              <w:keepNext/>
            </w:pPr>
            <w:r>
              <w:rPr>
                <w:rFonts w:ascii="Times New Roman" w:eastAsia="Times New Roman" w:hAnsi="Times New Roman"/>
                <w:b w:val="0"/>
                <w:bCs w:val="0"/>
                <w:noProof/>
                <w:color w:val="auto"/>
                <w:sz w:val="22"/>
                <w:szCs w:val="20"/>
              </w:rPr>
              <w:drawing>
                <wp:inline distT="0" distB="0" distL="0" distR="0" wp14:anchorId="371EE382" wp14:editId="370AB5D0">
                  <wp:extent cx="2733671" cy="2733671"/>
                  <wp:effectExtent l="0" t="0" r="0" b="0"/>
                  <wp:docPr id="22" name="Pictur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rcRect/>
                          <a:stretch>
                            <a:fillRect/>
                          </a:stretch>
                        </pic:blipFill>
                        <pic:spPr>
                          <a:xfrm>
                            <a:off x="0" y="0"/>
                            <a:ext cx="2733671" cy="2733671"/>
                          </a:xfrm>
                          <a:prstGeom prst="rect">
                            <a:avLst/>
                          </a:prstGeom>
                          <a:noFill/>
                          <a:ln>
                            <a:noFill/>
                            <a:prstDash/>
                          </a:ln>
                        </pic:spPr>
                      </pic:pic>
                    </a:graphicData>
                  </a:graphic>
                </wp:inline>
              </w:drawing>
            </w:r>
          </w:p>
        </w:tc>
      </w:tr>
      <w:tr w:rsidR="00D30E94" w14:paraId="0FAB967C" w14:textId="77777777">
        <w:tc>
          <w:tcPr>
            <w:tcW w:w="935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94FC9B" w14:textId="77777777" w:rsidR="00D30E94" w:rsidRDefault="00A506A5">
            <w:pPr>
              <w:pStyle w:val="Caption"/>
            </w:pPr>
            <w:r>
              <w:rPr>
                <w:rFonts w:ascii="Times New Roman" w:eastAsia="Times New Roman" w:hAnsi="Times New Roman"/>
                <w:b w:val="0"/>
                <w:bCs w:val="0"/>
                <w:color w:val="auto"/>
                <w:sz w:val="22"/>
                <w:szCs w:val="20"/>
              </w:rPr>
              <w:t>Figure 3: Example of orthogonal cuts geometry when the EUT service area is centered around the x-axis. Two mandatory cuts grid (left) and the optional added third cut (right). The first two cuts are generated by rotating the EUT around its z-axis and y-axis, respectively, and the optional third cut is generated by rotating the EUT around its x-axis.</w:t>
            </w:r>
          </w:p>
        </w:tc>
      </w:tr>
    </w:tbl>
    <w:p w14:paraId="44B8D429" w14:textId="77777777" w:rsidR="00D30E94" w:rsidRDefault="00D30E94">
      <w:pPr>
        <w:keepLines/>
        <w:overflowPunct w:val="0"/>
        <w:autoSpaceDE w:val="0"/>
        <w:spacing w:after="240"/>
        <w:jc w:val="center"/>
        <w:rPr>
          <w:rFonts w:ascii="Arial" w:hAnsi="Arial"/>
          <w:b/>
        </w:rPr>
      </w:pPr>
    </w:p>
    <w:p w14:paraId="01AFFCD1" w14:textId="77777777" w:rsidR="00D30E94" w:rsidRDefault="00D30E94">
      <w:pPr>
        <w:rPr>
          <w:lang w:eastAsia="en-CA"/>
        </w:rPr>
      </w:pPr>
    </w:p>
    <w:p w14:paraId="5782A22F" w14:textId="4606D52A" w:rsidR="00D30E94" w:rsidRDefault="00454AA2">
      <w:pPr>
        <w:pStyle w:val="Heading1"/>
      </w:pPr>
      <w:r>
        <w:t xml:space="preserve">Appendix </w:t>
      </w:r>
      <w:r w:rsidR="00A506A5">
        <w:t xml:space="preserve">C </w:t>
      </w:r>
      <w:r w:rsidR="00A506A5">
        <w:tab/>
        <w:t>Pattern multiplication</w:t>
      </w:r>
    </w:p>
    <w:p w14:paraId="4994D11F" w14:textId="77777777" w:rsidR="00D30E94" w:rsidRDefault="00A506A5">
      <w:pPr>
        <w:jc w:val="both"/>
      </w:pPr>
      <w:r>
        <w:rPr>
          <w:rFonts w:ascii="Times New Roman" w:eastAsia="Times New Roman" w:hAnsi="Times New Roman"/>
          <w:szCs w:val="20"/>
        </w:rPr>
        <w:t xml:space="preserve">Pattern multiplication can only be used in adjacent bands and is a post-processing step that can be applied to two-cuts data and if </w:t>
      </w:r>
      <m:oMath>
        <m:sSub>
          <m:sSubPr>
            <m:ctrlPr>
              <w:rPr>
                <w:rFonts w:ascii="Cambria Math" w:hAnsi="Cambria Math"/>
              </w:rPr>
            </m:ctrlPr>
          </m:sSubPr>
          <m:e>
            <m:r>
              <m:rPr>
                <m:sty m:val="p"/>
              </m:rPr>
              <w:rPr>
                <w:rFonts w:ascii="Cambria Math" w:hAnsi="Cambria Math"/>
              </w:rPr>
              <m:t>ϕ</m:t>
            </m:r>
          </m:e>
          <m:sub>
            <m:r>
              <w:rPr>
                <w:rFonts w:ascii="Cambria Math" w:hAnsi="Cambria Math"/>
              </w:rPr>
              <m:t>V</m:t>
            </m:r>
          </m:sub>
        </m:sSub>
        <m:r>
          <w:rPr>
            <w:rFonts w:ascii="Cambria Math" w:hAnsi="Cambria Math"/>
          </w:rPr>
          <m:t>=0</m:t>
        </m:r>
      </m:oMath>
      <w:r>
        <w:rPr>
          <w:rFonts w:ascii="Times New Roman" w:eastAsia="Times New Roman" w:hAnsi="Times New Roman"/>
          <w:szCs w:val="20"/>
        </w:rPr>
        <w:t xml:space="preserve">. </w:t>
      </w:r>
    </w:p>
    <w:p w14:paraId="7F8ABE12" w14:textId="77777777" w:rsidR="00D30E94" w:rsidRDefault="00A506A5">
      <w:pPr>
        <w:jc w:val="both"/>
        <w:rPr>
          <w:rFonts w:ascii="Times New Roman" w:eastAsia="Times New Roman" w:hAnsi="Times New Roman"/>
          <w:szCs w:val="20"/>
        </w:rPr>
      </w:pPr>
      <w:r>
        <w:rPr>
          <w:rFonts w:ascii="Times New Roman" w:eastAsia="Times New Roman" w:hAnsi="Times New Roman"/>
          <w:szCs w:val="20"/>
        </w:rPr>
        <w:t>The following requirements are mandatory</w:t>
      </w:r>
    </w:p>
    <w:p w14:paraId="08AABF1D" w14:textId="77777777" w:rsidR="00D30E94" w:rsidRDefault="00A506A5">
      <w:pPr>
        <w:pStyle w:val="ListParagraph"/>
        <w:numPr>
          <w:ilvl w:val="2"/>
          <w:numId w:val="6"/>
        </w:numPr>
        <w:spacing w:after="120"/>
        <w:ind w:left="1440"/>
        <w:jc w:val="both"/>
      </w:pPr>
      <w:r>
        <w:rPr>
          <w:rFonts w:ascii="Times New Roman" w:eastAsia="Times New Roman" w:hAnsi="Times New Roman"/>
          <w:szCs w:val="20"/>
        </w:rPr>
        <w:t xml:space="preserve">The vertical cut is taken in the </w:t>
      </w:r>
      <m:oMath>
        <m:r>
          <w:rPr>
            <w:rFonts w:ascii="Cambria Math" w:hAnsi="Cambria Math"/>
          </w:rPr>
          <m:t>xz</m:t>
        </m:r>
      </m:oMath>
      <w:r>
        <w:rPr>
          <w:rFonts w:ascii="Times New Roman" w:eastAsia="Times New Roman" w:hAnsi="Times New Roman"/>
          <w:szCs w:val="20"/>
        </w:rPr>
        <w:t xml:space="preserve"> -plane, i.e., </w:t>
      </w:r>
      <m:oMath>
        <m:sSub>
          <m:sSubPr>
            <m:ctrlPr>
              <w:rPr>
                <w:rFonts w:ascii="Cambria Math" w:hAnsi="Cambria Math"/>
              </w:rPr>
            </m:ctrlPr>
          </m:sSubPr>
          <m:e>
            <m:r>
              <m:rPr>
                <m:sty m:val="p"/>
              </m:rPr>
              <w:rPr>
                <w:rFonts w:ascii="Cambria Math" w:hAnsi="Cambria Math"/>
              </w:rPr>
              <m:t>ϕ</m:t>
            </m:r>
          </m:e>
          <m:sub>
            <m:r>
              <w:rPr>
                <w:rFonts w:ascii="Cambria Math" w:hAnsi="Cambria Math"/>
              </w:rPr>
              <m:t>V</m:t>
            </m:r>
          </m:sub>
        </m:sSub>
        <m:r>
          <w:rPr>
            <w:rFonts w:ascii="Cambria Math" w:hAnsi="Cambria Math"/>
          </w:rPr>
          <m:t>=0</m:t>
        </m:r>
      </m:oMath>
    </w:p>
    <w:p w14:paraId="1C2CBBF4" w14:textId="57C74AF4" w:rsidR="00D30E94" w:rsidRPr="0058379A" w:rsidRDefault="00A506A5">
      <w:pPr>
        <w:pStyle w:val="ListParagraph"/>
        <w:numPr>
          <w:ilvl w:val="2"/>
          <w:numId w:val="5"/>
        </w:numPr>
        <w:spacing w:after="120"/>
        <w:ind w:left="1440"/>
        <w:jc w:val="both"/>
        <w:rPr>
          <w:rFonts w:ascii="Times New Roman" w:eastAsia="Times New Roman" w:hAnsi="Times New Roman"/>
          <w:szCs w:val="20"/>
          <w:highlight w:val="yellow"/>
        </w:rPr>
      </w:pPr>
      <w:r w:rsidRPr="0058379A">
        <w:rPr>
          <w:rFonts w:ascii="Times New Roman" w:eastAsia="Times New Roman" w:hAnsi="Times New Roman"/>
          <w:szCs w:val="20"/>
          <w:highlight w:val="yellow"/>
        </w:rPr>
        <w:t xml:space="preserve">The frequency of the emission is </w:t>
      </w:r>
      <w:r w:rsidR="0058379A" w:rsidRPr="0058379A">
        <w:rPr>
          <w:rFonts w:ascii="Times New Roman" w:eastAsia="Times New Roman" w:hAnsi="Times New Roman"/>
          <w:szCs w:val="20"/>
          <w:highlight w:val="yellow"/>
        </w:rPr>
        <w:t>within</w:t>
      </w:r>
      <w:r w:rsidR="00DC2556" w:rsidRPr="0058379A">
        <w:rPr>
          <w:rFonts w:ascii="Times New Roman" w:eastAsia="Times New Roman" w:hAnsi="Times New Roman"/>
          <w:szCs w:val="20"/>
          <w:highlight w:val="yellow"/>
        </w:rPr>
        <w:t xml:space="preserve"> the BS RF Bandwidth </w:t>
      </w:r>
      <w:r w:rsidR="0058379A" w:rsidRPr="0058379A">
        <w:rPr>
          <w:rFonts w:ascii="Times New Roman" w:eastAsia="Times New Roman" w:hAnsi="Times New Roman"/>
          <w:szCs w:val="20"/>
          <w:highlight w:val="yellow"/>
        </w:rPr>
        <w:t xml:space="preserve">or close to its </w:t>
      </w:r>
      <w:r w:rsidR="00DC2556" w:rsidRPr="0058379A">
        <w:rPr>
          <w:rFonts w:ascii="Times New Roman" w:eastAsia="Times New Roman" w:hAnsi="Times New Roman"/>
          <w:szCs w:val="20"/>
          <w:highlight w:val="yellow"/>
        </w:rPr>
        <w:t>edges</w:t>
      </w:r>
      <w:r w:rsidRPr="0058379A">
        <w:rPr>
          <w:rFonts w:ascii="Times New Roman" w:eastAsia="Times New Roman" w:hAnsi="Times New Roman"/>
          <w:szCs w:val="20"/>
          <w:highlight w:val="yellow"/>
        </w:rPr>
        <w:t xml:space="preserve"> </w:t>
      </w:r>
      <w:r w:rsidR="00DC2556" w:rsidRPr="0058379A">
        <w:rPr>
          <w:rFonts w:ascii="Times New Roman" w:eastAsia="Times New Roman" w:hAnsi="Times New Roman"/>
          <w:szCs w:val="20"/>
          <w:highlight w:val="yellow"/>
        </w:rPr>
        <w:t xml:space="preserve">(e.g. emissions will experience similar </w:t>
      </w:r>
      <w:r w:rsidR="0058379A" w:rsidRPr="0058379A">
        <w:rPr>
          <w:rFonts w:ascii="Times New Roman" w:eastAsia="Times New Roman" w:hAnsi="Times New Roman"/>
          <w:szCs w:val="20"/>
          <w:highlight w:val="yellow"/>
        </w:rPr>
        <w:t>pattern as the wanted signal)</w:t>
      </w:r>
    </w:p>
    <w:p w14:paraId="7B333FED" w14:textId="77777777" w:rsidR="00D30E94" w:rsidRDefault="00A506A5">
      <w:pPr>
        <w:pStyle w:val="ListParagraph"/>
        <w:numPr>
          <w:ilvl w:val="2"/>
          <w:numId w:val="5"/>
        </w:numPr>
        <w:spacing w:after="120"/>
        <w:ind w:left="1440"/>
        <w:jc w:val="both"/>
        <w:rPr>
          <w:rFonts w:ascii="Times New Roman" w:eastAsia="Times New Roman" w:hAnsi="Times New Roman"/>
          <w:szCs w:val="20"/>
        </w:rPr>
      </w:pPr>
      <w:r>
        <w:rPr>
          <w:rFonts w:ascii="Times New Roman" w:eastAsia="Times New Roman" w:hAnsi="Times New Roman"/>
          <w:szCs w:val="20"/>
        </w:rPr>
        <w:lastRenderedPageBreak/>
        <w:t>The bandwidth of the emission is the same as the bandwidth of the in-band modulated signal</w:t>
      </w:r>
    </w:p>
    <w:p w14:paraId="78286174" w14:textId="77777777" w:rsidR="00D30E94" w:rsidRDefault="00A506A5">
      <w:pPr>
        <w:pStyle w:val="ListParagraph"/>
        <w:numPr>
          <w:ilvl w:val="2"/>
          <w:numId w:val="5"/>
        </w:numPr>
        <w:spacing w:after="120"/>
        <w:ind w:left="1440"/>
        <w:jc w:val="both"/>
        <w:rPr>
          <w:rFonts w:ascii="Times New Roman" w:eastAsia="Times New Roman" w:hAnsi="Times New Roman"/>
          <w:szCs w:val="20"/>
        </w:rPr>
      </w:pPr>
      <w:r>
        <w:rPr>
          <w:rFonts w:ascii="Times New Roman" w:eastAsia="Times New Roman" w:hAnsi="Times New Roman"/>
          <w:szCs w:val="20"/>
        </w:rPr>
        <w:t xml:space="preserve">The emission changes significantly when the </w:t>
      </w:r>
      <w:proofErr w:type="spellStart"/>
      <w:r>
        <w:rPr>
          <w:rFonts w:ascii="Times New Roman" w:eastAsia="Times New Roman" w:hAnsi="Times New Roman"/>
          <w:szCs w:val="20"/>
        </w:rPr>
        <w:t>Tx</w:t>
      </w:r>
      <w:proofErr w:type="spellEnd"/>
      <w:r>
        <w:rPr>
          <w:rFonts w:ascii="Times New Roman" w:eastAsia="Times New Roman" w:hAnsi="Times New Roman"/>
          <w:szCs w:val="20"/>
        </w:rPr>
        <w:t xml:space="preserve"> power is turned on or off.</w:t>
      </w:r>
    </w:p>
    <w:p w14:paraId="402F90CF" w14:textId="77777777" w:rsidR="00D30E94" w:rsidRDefault="00A506A5">
      <w:pPr>
        <w:pStyle w:val="ListParagraph"/>
        <w:numPr>
          <w:ilvl w:val="2"/>
          <w:numId w:val="5"/>
        </w:numPr>
        <w:spacing w:after="120"/>
        <w:ind w:left="1440"/>
        <w:jc w:val="both"/>
        <w:rPr>
          <w:rFonts w:ascii="Times New Roman" w:eastAsia="Times New Roman" w:hAnsi="Times New Roman"/>
          <w:szCs w:val="20"/>
        </w:rPr>
      </w:pPr>
      <w:r>
        <w:rPr>
          <w:rFonts w:ascii="Times New Roman" w:eastAsia="Times New Roman" w:hAnsi="Times New Roman"/>
          <w:szCs w:val="20"/>
        </w:rPr>
        <w:t>The antenna arrays of the EUT</w:t>
      </w:r>
    </w:p>
    <w:p w14:paraId="7BD31DCD" w14:textId="77777777" w:rsidR="00D30E94" w:rsidRDefault="00A506A5">
      <w:pPr>
        <w:pStyle w:val="ListParagraph"/>
        <w:numPr>
          <w:ilvl w:val="3"/>
          <w:numId w:val="5"/>
        </w:numPr>
        <w:spacing w:after="120"/>
        <w:ind w:left="1980"/>
        <w:jc w:val="both"/>
        <w:rPr>
          <w:rFonts w:ascii="Times New Roman" w:eastAsia="Times New Roman" w:hAnsi="Times New Roman"/>
          <w:szCs w:val="20"/>
        </w:rPr>
      </w:pPr>
      <w:r>
        <w:rPr>
          <w:rFonts w:ascii="Times New Roman" w:eastAsia="Times New Roman" w:hAnsi="Times New Roman"/>
          <w:szCs w:val="20"/>
        </w:rPr>
        <w:t>Have rectangular grids of antenna element positions</w:t>
      </w:r>
    </w:p>
    <w:p w14:paraId="6D2B420C" w14:textId="77777777" w:rsidR="00D30E94" w:rsidRDefault="00A506A5">
      <w:pPr>
        <w:pStyle w:val="ListParagraph"/>
        <w:numPr>
          <w:ilvl w:val="3"/>
          <w:numId w:val="5"/>
        </w:numPr>
        <w:spacing w:after="120"/>
        <w:ind w:left="1980"/>
        <w:jc w:val="both"/>
        <w:rPr>
          <w:rFonts w:ascii="Times New Roman" w:eastAsia="Times New Roman" w:hAnsi="Times New Roman"/>
          <w:szCs w:val="20"/>
        </w:rPr>
      </w:pPr>
      <w:r>
        <w:rPr>
          <w:rFonts w:ascii="Times New Roman" w:eastAsia="Times New Roman" w:hAnsi="Times New Roman"/>
          <w:szCs w:val="20"/>
        </w:rPr>
        <w:t>Have symmetry planes that are vertical and horizontal.</w:t>
      </w:r>
    </w:p>
    <w:p w14:paraId="2F91BAE0" w14:textId="77777777" w:rsidR="00D30E94" w:rsidRDefault="00A506A5">
      <w:pPr>
        <w:pStyle w:val="ListParagraph"/>
        <w:numPr>
          <w:ilvl w:val="3"/>
          <w:numId w:val="5"/>
        </w:numPr>
        <w:spacing w:after="120"/>
        <w:ind w:left="1980"/>
        <w:jc w:val="both"/>
        <w:rPr>
          <w:rFonts w:ascii="Times New Roman" w:eastAsia="Times New Roman" w:hAnsi="Times New Roman"/>
          <w:szCs w:val="20"/>
        </w:rPr>
      </w:pPr>
      <w:r>
        <w:rPr>
          <w:rFonts w:ascii="Times New Roman" w:eastAsia="Times New Roman" w:hAnsi="Times New Roman"/>
          <w:szCs w:val="20"/>
        </w:rPr>
        <w:t xml:space="preserve">Have parallel antenna planes </w:t>
      </w:r>
    </w:p>
    <w:p w14:paraId="04BAE83D" w14:textId="77777777" w:rsidR="00D30E94" w:rsidRDefault="00A506A5">
      <w:pPr>
        <w:jc w:val="both"/>
        <w:rPr>
          <w:rFonts w:ascii="Times New Roman" w:eastAsia="Times New Roman" w:hAnsi="Times New Roman"/>
          <w:szCs w:val="20"/>
        </w:rPr>
      </w:pPr>
      <w:r>
        <w:rPr>
          <w:rFonts w:ascii="Times New Roman" w:eastAsia="Times New Roman" w:hAnsi="Times New Roman"/>
          <w:szCs w:val="20"/>
        </w:rPr>
        <w:t xml:space="preserve">Two cuts cut data as processed in Appendix B gives a conservative TRP estimate. Here, a less conservative estimate is used based on the possibility to calculate the antenna array factor as a product of two terms, corresponding to the two cuts. </w:t>
      </w:r>
    </w:p>
    <w:p w14:paraId="116C1CDE" w14:textId="77777777" w:rsidR="00D30E94" w:rsidRDefault="00A506A5">
      <w:pPr>
        <w:jc w:val="both"/>
      </w:pPr>
      <w:r>
        <w:rPr>
          <w:rFonts w:ascii="Times New Roman" w:eastAsia="Times New Roman" w:hAnsi="Times New Roman"/>
          <w:szCs w:val="20"/>
        </w:rPr>
        <w:t xml:space="preserve">The antenna array is here assumed to be placed in the </w:t>
      </w:r>
      <w:proofErr w:type="spellStart"/>
      <w:r>
        <w:rPr>
          <w:rFonts w:ascii="Times New Roman" w:eastAsia="Times New Roman" w:hAnsi="Times New Roman"/>
          <w:szCs w:val="20"/>
        </w:rPr>
        <w:t>yz</w:t>
      </w:r>
      <w:proofErr w:type="spellEnd"/>
      <w:r>
        <w:rPr>
          <w:rFonts w:ascii="Times New Roman" w:eastAsia="Times New Roman" w:hAnsi="Times New Roman"/>
          <w:szCs w:val="20"/>
        </w:rPr>
        <w:t xml:space="preserve">-plane. The pattern multiplication is performed in </w:t>
      </w:r>
      <w:proofErr w:type="spellStart"/>
      <w:r>
        <w:rPr>
          <w:rFonts w:ascii="Times New Roman" w:eastAsia="Times New Roman" w:hAnsi="Times New Roman"/>
          <w:szCs w:val="20"/>
        </w:rPr>
        <w:t>uv</w:t>
      </w:r>
      <w:proofErr w:type="spellEnd"/>
      <w:r>
        <w:rPr>
          <w:rFonts w:ascii="Times New Roman" w:eastAsia="Times New Roman" w:hAnsi="Times New Roman"/>
          <w:szCs w:val="20"/>
        </w:rPr>
        <w:t xml:space="preserve">-coordinates and the data in the two cuts are denoted </w:t>
      </w:r>
      <m:oMath>
        <m:sSub>
          <m:sSubPr>
            <m:ctrlPr>
              <w:rPr>
                <w:rFonts w:ascii="Cambria Math" w:hAnsi="Cambria Math"/>
              </w:rPr>
            </m:ctrlPr>
          </m:sSubPr>
          <m:e>
            <m:r>
              <w:rPr>
                <w:rFonts w:ascii="Cambria Math" w:hAnsi="Cambria Math"/>
              </w:rPr>
              <m:t>u</m:t>
            </m:r>
          </m:e>
          <m:sub>
            <m:r>
              <w:rPr>
                <w:rFonts w:ascii="Cambria Math" w:hAnsi="Cambria Math"/>
              </w:rPr>
              <m:t>H</m:t>
            </m:r>
          </m:sub>
        </m:sSub>
        <m:d>
          <m:dPr>
            <m:ctrlPr>
              <w:rPr>
                <w:rFonts w:ascii="Cambria Math" w:hAnsi="Cambria Math"/>
              </w:rPr>
            </m:ctrlPr>
          </m:dPr>
          <m:e>
            <m:r>
              <w:rPr>
                <w:rFonts w:ascii="Cambria Math" w:hAnsi="Cambria Math"/>
              </w:rPr>
              <m:t>ϕ</m:t>
            </m:r>
          </m:e>
        </m:d>
      </m:oMath>
      <w:r>
        <w:rPr>
          <w:rFonts w:ascii="Times New Roman" w:eastAsia="Times New Roman" w:hAnsi="Times New Roman"/>
          <w:szCs w:val="20"/>
        </w:rPr>
        <w:t xml:space="preserve"> at </w:t>
      </w:r>
      <m:oMath>
        <m:r>
          <w:rPr>
            <w:rFonts w:ascii="Cambria Math" w:hAnsi="Cambria Math"/>
          </w:rPr>
          <m:t>θ=</m:t>
        </m:r>
        <m:sSub>
          <m:sSubPr>
            <m:ctrlPr>
              <w:rPr>
                <w:rFonts w:ascii="Cambria Math" w:hAnsi="Cambria Math"/>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Pr>
          <w:rFonts w:ascii="Times New Roman" w:eastAsia="Times New Roman" w:hAnsi="Times New Roman"/>
          <w:szCs w:val="20"/>
        </w:rPr>
        <w:t xml:space="preserve">and a vertical cut with data </w:t>
      </w:r>
      <m:oMath>
        <m:sSub>
          <m:sSubPr>
            <m:ctrlPr>
              <w:rPr>
                <w:rFonts w:ascii="Cambria Math" w:hAnsi="Cambria Math"/>
              </w:rPr>
            </m:ctrlPr>
          </m:sSubPr>
          <m:e>
            <m:r>
              <w:rPr>
                <w:rFonts w:ascii="Cambria Math" w:hAnsi="Cambria Math"/>
              </w:rPr>
              <m:t>u</m:t>
            </m:r>
          </m:e>
          <m:sub>
            <m:r>
              <w:rPr>
                <w:rFonts w:ascii="Cambria Math" w:hAnsi="Cambria Math"/>
              </w:rPr>
              <m:t>V</m:t>
            </m:r>
          </m:sub>
        </m:sSub>
        <m:d>
          <m:dPr>
            <m:ctrlPr>
              <w:rPr>
                <w:rFonts w:ascii="Cambria Math" w:hAnsi="Cambria Math"/>
              </w:rPr>
            </m:ctrlPr>
          </m:dPr>
          <m:e>
            <m:r>
              <w:rPr>
                <w:rFonts w:ascii="Cambria Math" w:hAnsi="Cambria Math"/>
              </w:rPr>
              <m:t>θ</m:t>
            </m:r>
          </m:e>
        </m:d>
      </m:oMath>
      <w:r>
        <w:rPr>
          <w:rFonts w:ascii="Times New Roman" w:eastAsia="Times New Roman" w:hAnsi="Times New Roman"/>
          <w:szCs w:val="20"/>
        </w:rPr>
        <w:t xml:space="preserve"> at </w:t>
      </w:r>
      <m:oMath>
        <m:r>
          <w:rPr>
            <w:rFonts w:ascii="Cambria Math" w:hAnsi="Cambria Math"/>
          </w:rPr>
          <m:t>ϕ=</m:t>
        </m:r>
        <m:sSub>
          <m:sSubPr>
            <m:ctrlPr>
              <w:rPr>
                <w:rFonts w:ascii="Cambria Math" w:hAnsi="Cambria Math"/>
              </w:rPr>
            </m:ctrlPr>
          </m:sSubPr>
          <m:e>
            <m:r>
              <w:rPr>
                <w:rFonts w:ascii="Cambria Math" w:hAnsi="Cambria Math"/>
              </w:rPr>
              <m:t>ϕ</m:t>
            </m:r>
          </m:e>
          <m:sub>
            <m:r>
              <w:rPr>
                <w:rFonts w:ascii="Cambria Math" w:hAnsi="Cambria Math"/>
              </w:rPr>
              <m:t>V</m:t>
            </m:r>
          </m:sub>
        </m:sSub>
      </m:oMath>
      <w:r>
        <w:rPr>
          <w:rFonts w:ascii="Times New Roman" w:eastAsia="Times New Roman" w:hAnsi="Times New Roman"/>
          <w:szCs w:val="20"/>
        </w:rPr>
        <w:t xml:space="preserve">. The data is split in two parts corresponding to the forward and backward hemisphere, where the relation </w:t>
      </w:r>
    </w:p>
    <w:p w14:paraId="2FEEC902" w14:textId="77777777" w:rsidR="00D30E94" w:rsidRDefault="00A506A5">
      <w:pPr>
        <w:jc w:val="both"/>
      </w:pP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t xml:space="preserve"> </w:t>
      </w:r>
      <w:r>
        <w:rPr>
          <w:rFonts w:ascii="Times New Roman" w:eastAsia="Times New Roman" w:hAnsi="Times New Roman"/>
          <w:noProof/>
          <w:szCs w:val="20"/>
        </w:rPr>
        <w:drawing>
          <wp:inline distT="0" distB="0" distL="0" distR="0" wp14:anchorId="30EDC042" wp14:editId="2BF579B2">
            <wp:extent cx="987917" cy="163997"/>
            <wp:effectExtent l="0" t="0" r="2683" b="7453"/>
            <wp:docPr id="23" name="Picture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987917" cy="163997"/>
                    </a:xfrm>
                    <a:prstGeom prst="rect">
                      <a:avLst/>
                    </a:prstGeom>
                    <a:noFill/>
                    <a:ln>
                      <a:noFill/>
                      <a:prstDash/>
                    </a:ln>
                  </pic:spPr>
                </pic:pic>
              </a:graphicData>
            </a:graphic>
          </wp:inline>
        </w:drawing>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lang w:eastAsia="ja-JP"/>
        </w:rPr>
        <w:t>(C.1)</w:t>
      </w:r>
    </w:p>
    <w:p w14:paraId="76A21AB4" w14:textId="77777777" w:rsidR="00D30E94" w:rsidRDefault="00A506A5">
      <w:pPr>
        <w:rPr>
          <w:rFonts w:ascii="Times New Roman" w:eastAsia="Times New Roman" w:hAnsi="Times New Roman"/>
          <w:szCs w:val="20"/>
        </w:rPr>
      </w:pPr>
      <w:r>
        <w:rPr>
          <w:rFonts w:ascii="Times New Roman" w:eastAsia="Times New Roman" w:hAnsi="Times New Roman"/>
          <w:szCs w:val="20"/>
        </w:rPr>
        <w:t xml:space="preserve">holds for the forward hemisphere data. The remaining data correspond to the backward hemisphere. The </w:t>
      </w:r>
      <w:proofErr w:type="spellStart"/>
      <w:r>
        <w:rPr>
          <w:rFonts w:ascii="Times New Roman" w:eastAsia="Times New Roman" w:hAnsi="Times New Roman"/>
          <w:szCs w:val="20"/>
        </w:rPr>
        <w:t>uv</w:t>
      </w:r>
      <w:proofErr w:type="spellEnd"/>
      <w:r>
        <w:rPr>
          <w:rFonts w:ascii="Times New Roman" w:eastAsia="Times New Roman" w:hAnsi="Times New Roman"/>
          <w:szCs w:val="20"/>
        </w:rPr>
        <w:t>-coordinates are defined as</w:t>
      </w:r>
    </w:p>
    <w:p w14:paraId="43E76872" w14:textId="77777777" w:rsidR="00D30E94" w:rsidRDefault="00A506A5">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noProof/>
          <w:szCs w:val="20"/>
        </w:rPr>
        <w:drawing>
          <wp:inline distT="0" distB="0" distL="0" distR="0" wp14:anchorId="034A73B7" wp14:editId="5A45E2FC">
            <wp:extent cx="1448446" cy="438921"/>
            <wp:effectExtent l="0" t="0" r="0" b="0"/>
            <wp:docPr id="24" name="Pictur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1448446" cy="438921"/>
                    </a:xfrm>
                    <a:prstGeom prst="rect">
                      <a:avLst/>
                    </a:prstGeom>
                    <a:noFill/>
                    <a:ln>
                      <a:noFill/>
                      <a:prstDash/>
                    </a:ln>
                  </pic:spPr>
                </pic:pic>
              </a:graphicData>
            </a:graphic>
          </wp:inline>
        </w:drawing>
      </w:r>
      <w:r>
        <w:rPr>
          <w:rFonts w:ascii="Times New Roman" w:eastAsia="Times New Roman" w:hAnsi="Times New Roman"/>
          <w:szCs w:val="20"/>
        </w:rPr>
        <w:tab/>
      </w:r>
      <w:r>
        <w:rPr>
          <w:rFonts w:ascii="Times New Roman" w:eastAsia="Times New Roman" w:hAnsi="Times New Roman"/>
          <w:szCs w:val="20"/>
          <w:lang w:eastAsia="ja-JP"/>
        </w:rPr>
        <w:t>(C.2)</w:t>
      </w:r>
    </w:p>
    <w:p w14:paraId="1F9EBD66" w14:textId="77777777" w:rsidR="00D30E94" w:rsidRDefault="00A506A5">
      <w:pPr>
        <w:rPr>
          <w:rFonts w:ascii="Times New Roman" w:eastAsia="Times New Roman" w:hAnsi="Times New Roman"/>
          <w:szCs w:val="20"/>
        </w:rPr>
      </w:pPr>
      <w:r>
        <w:rPr>
          <w:rFonts w:ascii="Times New Roman" w:eastAsia="Times New Roman" w:hAnsi="Times New Roman"/>
          <w:szCs w:val="20"/>
        </w:rPr>
        <w:t xml:space="preserve">for each hemisphere. The inverse relation reads </w:t>
      </w:r>
    </w:p>
    <w:p w14:paraId="27D4BFAF" w14:textId="77777777" w:rsidR="00D30E94" w:rsidRDefault="00A506A5">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noProof/>
          <w:szCs w:val="20"/>
        </w:rPr>
        <w:drawing>
          <wp:inline distT="0" distB="0" distL="0" distR="0" wp14:anchorId="4621BD88" wp14:editId="1770EF0A">
            <wp:extent cx="1430441" cy="553102"/>
            <wp:effectExtent l="0" t="0" r="0" b="0"/>
            <wp:docPr id="25" name="Picture 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1430441" cy="553102"/>
                    </a:xfrm>
                    <a:prstGeom prst="rect">
                      <a:avLst/>
                    </a:prstGeom>
                    <a:noFill/>
                    <a:ln>
                      <a:noFill/>
                      <a:prstDash/>
                    </a:ln>
                  </pic:spPr>
                </pic:pic>
              </a:graphicData>
            </a:graphic>
          </wp:inline>
        </w:drawing>
      </w:r>
      <w:r>
        <w:rPr>
          <w:rFonts w:ascii="Times New Roman" w:eastAsia="Times New Roman" w:hAnsi="Times New Roman"/>
          <w:szCs w:val="20"/>
        </w:rPr>
        <w:t xml:space="preserve"> </w:t>
      </w:r>
      <w:r>
        <w:rPr>
          <w:rFonts w:ascii="Times New Roman" w:eastAsia="Times New Roman" w:hAnsi="Times New Roman"/>
          <w:szCs w:val="20"/>
        </w:rPr>
        <w:tab/>
        <w:t>(C.3)</w:t>
      </w:r>
    </w:p>
    <w:p w14:paraId="27CA56F2" w14:textId="77777777" w:rsidR="00D30E94" w:rsidRDefault="00A506A5">
      <w:r>
        <w:rPr>
          <w:rFonts w:ascii="Times New Roman" w:eastAsia="Times New Roman" w:hAnsi="Times New Roman"/>
          <w:szCs w:val="20"/>
        </w:rPr>
        <w:t xml:space="preserve">Only the points in the circular disc </w:t>
      </w:r>
      <m:oMath>
        <m:sSup>
          <m:sSupPr>
            <m:ctrlPr>
              <w:rPr>
                <w:rFonts w:ascii="Cambria Math" w:hAnsi="Cambria Math"/>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v</m:t>
            </m:r>
          </m:e>
          <m:sup>
            <m:r>
              <w:rPr>
                <w:rFonts w:ascii="Cambria Math" w:hAnsi="Cambria Math"/>
              </w:rPr>
              <m:t>2</m:t>
            </m:r>
          </m:sup>
        </m:sSup>
        <m:r>
          <w:rPr>
            <w:rFonts w:ascii="Cambria Math" w:hAnsi="Cambria Math"/>
          </w:rPr>
          <m:t>≤1</m:t>
        </m:r>
      </m:oMath>
      <w:r>
        <w:rPr>
          <w:rFonts w:ascii="Times New Roman" w:eastAsia="Times New Roman" w:hAnsi="Times New Roman"/>
          <w:szCs w:val="20"/>
        </w:rPr>
        <w:t xml:space="preserve"> , a.k.a. the visible region, contribute to the TRP. </w:t>
      </w:r>
    </w:p>
    <w:p w14:paraId="0615B248" w14:textId="77777777" w:rsidR="00D30E94" w:rsidRDefault="00A506A5">
      <w:pPr>
        <w:rPr>
          <w:rFonts w:ascii="Times New Roman" w:eastAsia="Times New Roman" w:hAnsi="Times New Roman"/>
          <w:szCs w:val="20"/>
        </w:rPr>
      </w:pPr>
      <w:r>
        <w:rPr>
          <w:rFonts w:ascii="Times New Roman" w:eastAsia="Times New Roman" w:hAnsi="Times New Roman"/>
          <w:szCs w:val="20"/>
        </w:rPr>
        <w:t>The pattern multiplication is used to calculate power density values outside the two cardinal cuts as</w:t>
      </w:r>
    </w:p>
    <w:p w14:paraId="096534E6" w14:textId="77777777" w:rsidR="00D30E94" w:rsidRDefault="00A506A5">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noProof/>
          <w:szCs w:val="20"/>
        </w:rPr>
        <w:drawing>
          <wp:inline distT="0" distB="0" distL="0" distR="0" wp14:anchorId="628F03EF" wp14:editId="2396D599">
            <wp:extent cx="1459995" cy="342900"/>
            <wp:effectExtent l="0" t="0" r="6855" b="0"/>
            <wp:docPr id="26" name="Picture 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1459995" cy="342900"/>
                    </a:xfrm>
                    <a:prstGeom prst="rect">
                      <a:avLst/>
                    </a:prstGeom>
                    <a:noFill/>
                    <a:ln>
                      <a:noFill/>
                      <a:prstDash/>
                    </a:ln>
                  </pic:spPr>
                </pic:pic>
              </a:graphicData>
            </a:graphic>
          </wp:inline>
        </w:drawing>
      </w:r>
      <w:r>
        <w:rPr>
          <w:rFonts w:ascii="Times New Roman" w:eastAsia="Times New Roman" w:hAnsi="Times New Roman"/>
          <w:szCs w:val="20"/>
        </w:rPr>
        <w:t xml:space="preserve"> </w:t>
      </w:r>
      <w:r>
        <w:rPr>
          <w:rFonts w:ascii="Times New Roman" w:eastAsia="Times New Roman" w:hAnsi="Times New Roman"/>
          <w:szCs w:val="20"/>
        </w:rPr>
        <w:tab/>
        <w:t>(C.4)</w:t>
      </w:r>
    </w:p>
    <w:p w14:paraId="0AAB0CA3" w14:textId="77777777" w:rsidR="00D30E94" w:rsidRDefault="00A506A5">
      <w:pPr>
        <w:rPr>
          <w:rFonts w:ascii="Times New Roman" w:eastAsia="Times New Roman" w:hAnsi="Times New Roman"/>
          <w:szCs w:val="20"/>
        </w:rPr>
      </w:pPr>
      <w:r>
        <w:rPr>
          <w:rFonts w:ascii="Times New Roman" w:eastAsia="Times New Roman" w:hAnsi="Times New Roman"/>
          <w:szCs w:val="20"/>
        </w:rPr>
        <w:t>The TRP is then calculated as</w:t>
      </w:r>
    </w:p>
    <w:p w14:paraId="5F107BB7" w14:textId="77777777" w:rsidR="00D30E94" w:rsidRDefault="00A506A5">
      <w:r>
        <w:rPr>
          <w:rFonts w:ascii="Times New Roman" w:eastAsia="Times New Roman" w:hAnsi="Times New Roman"/>
          <w:szCs w:val="20"/>
        </w:rPr>
        <w:tab/>
      </w:r>
      <w:r>
        <w:rPr>
          <w:rFonts w:ascii="Times New Roman" w:eastAsia="Times New Roman" w:hAnsi="Times New Roman"/>
          <w:noProof/>
          <w:szCs w:val="20"/>
        </w:rPr>
        <w:drawing>
          <wp:inline distT="0" distB="0" distL="0" distR="0" wp14:anchorId="6C8D0607" wp14:editId="792D2443">
            <wp:extent cx="4267212" cy="368804"/>
            <wp:effectExtent l="0" t="0" r="0" b="0"/>
            <wp:docPr id="27" name="Pictur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267212" cy="368804"/>
                    </a:xfrm>
                    <a:prstGeom prst="rect">
                      <a:avLst/>
                    </a:prstGeom>
                    <a:noFill/>
                    <a:ln>
                      <a:noFill/>
                      <a:prstDash/>
                    </a:ln>
                  </pic:spPr>
                </pic:pic>
              </a:graphicData>
            </a:graphic>
          </wp:inline>
        </w:drawing>
      </w:r>
      <w:r>
        <w:rPr>
          <w:rFonts w:ascii="Times New Roman" w:eastAsia="Times New Roman" w:hAnsi="Times New Roman"/>
          <w:szCs w:val="20"/>
        </w:rPr>
        <w:t xml:space="preserve"> (C.5)</w:t>
      </w:r>
    </w:p>
    <w:p w14:paraId="166705A8" w14:textId="77777777" w:rsidR="00D30E94" w:rsidRDefault="00A506A5">
      <w:r>
        <w:rPr>
          <w:rFonts w:ascii="Times New Roman" w:eastAsia="Times New Roman" w:hAnsi="Times New Roman"/>
          <w:szCs w:val="20"/>
        </w:rPr>
        <w:t xml:space="preserve">Note: If </w:t>
      </w:r>
      <w:r>
        <w:rPr>
          <w:rFonts w:ascii="Times New Roman" w:eastAsia="Times New Roman" w:hAnsi="Times New Roman"/>
          <w:noProof/>
          <w:szCs w:val="20"/>
        </w:rPr>
        <w:drawing>
          <wp:inline distT="0" distB="0" distL="0" distR="0" wp14:anchorId="53D529EE" wp14:editId="33B67896">
            <wp:extent cx="505132" cy="162507"/>
            <wp:effectExtent l="0" t="0" r="9218" b="8943"/>
            <wp:docPr id="28"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05132" cy="162507"/>
                    </a:xfrm>
                    <a:prstGeom prst="rect">
                      <a:avLst/>
                    </a:prstGeom>
                    <a:noFill/>
                    <a:ln>
                      <a:noFill/>
                      <a:prstDash/>
                    </a:ln>
                  </pic:spPr>
                </pic:pic>
              </a:graphicData>
            </a:graphic>
          </wp:inline>
        </w:drawing>
      </w:r>
      <w:r>
        <w:rPr>
          <w:rFonts w:ascii="Times New Roman" w:eastAsia="Times New Roman" w:hAnsi="Times New Roman"/>
          <w:szCs w:val="20"/>
        </w:rPr>
        <w:t>, points near u=1 and u=-1 needs to be calculated using extrapolation. The closest power density values shall be used for extrapolation.</w:t>
      </w:r>
    </w:p>
    <w:p w14:paraId="0950C046" w14:textId="77777777" w:rsidR="00D30E94" w:rsidRDefault="00A506A5">
      <w:r>
        <w:rPr>
          <w:rFonts w:ascii="Times New Roman" w:eastAsia="Times New Roman" w:hAnsi="Times New Roman"/>
          <w:szCs w:val="20"/>
        </w:rPr>
        <w:lastRenderedPageBreak/>
        <w:t>Tips: To avoid the numerical singularity and restrict the integration to the unit disc</w:t>
      </w:r>
      <w:r w:rsidR="00BA17B1">
        <w:rPr>
          <w:rFonts w:ascii="Times New Roman" w:eastAsia="Times New Roman" w:hAnsi="Times New Roman"/>
          <w:szCs w:val="20"/>
        </w:rPr>
        <w:t xml:space="preserve"> in </w:t>
      </w:r>
      <w:proofErr w:type="spellStart"/>
      <w:r w:rsidR="00BA17B1">
        <w:rPr>
          <w:rFonts w:ascii="Times New Roman" w:eastAsia="Times New Roman" w:hAnsi="Times New Roman"/>
          <w:szCs w:val="20"/>
        </w:rPr>
        <w:t>uv</w:t>
      </w:r>
      <w:proofErr w:type="spellEnd"/>
      <w:r w:rsidR="00BA17B1">
        <w:rPr>
          <w:rFonts w:ascii="Times New Roman" w:eastAsia="Times New Roman" w:hAnsi="Times New Roman"/>
          <w:szCs w:val="20"/>
        </w:rPr>
        <w:t>-plane</w:t>
      </w:r>
      <w:r>
        <w:rPr>
          <w:rFonts w:ascii="Times New Roman" w:eastAsia="Times New Roman" w:hAnsi="Times New Roman"/>
          <w:szCs w:val="20"/>
        </w:rPr>
        <w:t>, the following coordinates can be used</w:t>
      </w:r>
    </w:p>
    <w:p w14:paraId="79ECE06B" w14:textId="77777777" w:rsidR="00D30E94" w:rsidRDefault="00A506A5">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noProof/>
          <w:szCs w:val="20"/>
        </w:rPr>
        <w:drawing>
          <wp:inline distT="0" distB="0" distL="0" distR="0" wp14:anchorId="7A3CE642" wp14:editId="0D5A7508">
            <wp:extent cx="1104906" cy="393192"/>
            <wp:effectExtent l="0" t="0" r="0" b="6858"/>
            <wp:docPr id="29" name="Pictur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1104906" cy="393192"/>
                    </a:xfrm>
                    <a:prstGeom prst="rect">
                      <a:avLst/>
                    </a:prstGeom>
                    <a:noFill/>
                    <a:ln>
                      <a:noFill/>
                      <a:prstDash/>
                    </a:ln>
                  </pic:spPr>
                </pic:pic>
              </a:graphicData>
            </a:graphic>
          </wp:inline>
        </w:drawing>
      </w:r>
      <w:r>
        <w:rPr>
          <w:rFonts w:ascii="Times New Roman" w:eastAsia="Times New Roman" w:hAnsi="Times New Roman"/>
          <w:szCs w:val="20"/>
        </w:rPr>
        <w:tab/>
      </w:r>
      <w:r>
        <w:rPr>
          <w:rFonts w:ascii="Times New Roman" w:eastAsia="Times New Roman" w:hAnsi="Times New Roman"/>
          <w:szCs w:val="20"/>
        </w:rPr>
        <w:tab/>
        <w:t>(C.6)</w:t>
      </w:r>
    </w:p>
    <w:p w14:paraId="0F6A6268" w14:textId="77777777" w:rsidR="00D30E94" w:rsidRDefault="00A506A5">
      <w:pPr>
        <w:rPr>
          <w:rFonts w:ascii="Times New Roman" w:eastAsia="Times New Roman" w:hAnsi="Times New Roman"/>
          <w:szCs w:val="20"/>
        </w:rPr>
      </w:pPr>
      <w:r>
        <w:rPr>
          <w:rFonts w:ascii="Times New Roman" w:eastAsia="Times New Roman" w:hAnsi="Times New Roman"/>
          <w:szCs w:val="20"/>
        </w:rPr>
        <w:t>The infinitesimal solid angle changes of the integration changes as</w:t>
      </w:r>
    </w:p>
    <w:p w14:paraId="7F4DFB3B" w14:textId="77777777" w:rsidR="00D30E94" w:rsidRDefault="00A506A5">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szCs w:val="20"/>
        </w:rPr>
        <w:tab/>
      </w:r>
      <w:r>
        <w:rPr>
          <w:rFonts w:ascii="Times New Roman" w:eastAsia="Times New Roman" w:hAnsi="Times New Roman"/>
          <w:noProof/>
          <w:szCs w:val="20"/>
        </w:rPr>
        <w:drawing>
          <wp:inline distT="0" distB="0" distL="0" distR="0" wp14:anchorId="62485B8B" wp14:editId="0CECC0B6">
            <wp:extent cx="1981203" cy="292608"/>
            <wp:effectExtent l="0" t="0" r="0" b="0"/>
            <wp:docPr id="30" name="Picture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1981203" cy="292608"/>
                    </a:xfrm>
                    <a:prstGeom prst="rect">
                      <a:avLst/>
                    </a:prstGeom>
                    <a:noFill/>
                    <a:ln>
                      <a:noFill/>
                      <a:prstDash/>
                    </a:ln>
                  </pic:spPr>
                </pic:pic>
              </a:graphicData>
            </a:graphic>
          </wp:inline>
        </w:drawing>
      </w:r>
      <w:r>
        <w:rPr>
          <w:rFonts w:ascii="Times New Roman" w:eastAsia="Times New Roman" w:hAnsi="Times New Roman"/>
          <w:szCs w:val="20"/>
        </w:rPr>
        <w:t xml:space="preserve"> </w:t>
      </w:r>
      <w:r>
        <w:rPr>
          <w:rFonts w:ascii="Times New Roman" w:eastAsia="Times New Roman" w:hAnsi="Times New Roman"/>
          <w:szCs w:val="20"/>
        </w:rPr>
        <w:tab/>
        <w:t>(C.7)</w:t>
      </w:r>
    </w:p>
    <w:p w14:paraId="652273F2" w14:textId="5B58B2CC" w:rsidR="00D30E94" w:rsidRDefault="00D30E94">
      <w:pPr>
        <w:rPr>
          <w:rFonts w:ascii="Times New Roman" w:eastAsia="Times New Roman" w:hAnsi="Times New Roman"/>
          <w:szCs w:val="20"/>
        </w:rPr>
      </w:pPr>
    </w:p>
    <w:sectPr w:rsidR="00D30E94">
      <w:headerReference w:type="default" r:id="rId79"/>
      <w:footerReference w:type="default" r:id="rId80"/>
      <w:pgSz w:w="12240" w:h="15840"/>
      <w:pgMar w:top="1440" w:right="1440" w:bottom="1440" w:left="1440" w:header="708" w:footer="708"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 w:author="Aurelian Bria" w:date="2018-04-06T19:01:00Z" w:initials="AB">
    <w:p w14:paraId="3946D509" w14:textId="4AD43AD8" w:rsidR="00072E5D" w:rsidRDefault="00072E5D">
      <w:pPr>
        <w:pStyle w:val="CommentText"/>
      </w:pPr>
      <w:r>
        <w:rPr>
          <w:rStyle w:val="CommentReference"/>
        </w:rPr>
        <w:annotationRef/>
      </w:r>
      <w:r>
        <w:t>Add a figure with the EUT enclosed by a sphere?</w:t>
      </w:r>
    </w:p>
  </w:comment>
  <w:comment w:id="6" w:author="Aurelian Bria" w:date="2018-04-05T13:01:00Z" w:initials="AB">
    <w:p w14:paraId="55B459F0" w14:textId="501F2E1F" w:rsidR="00072E5D" w:rsidRDefault="00072E5D">
      <w:pPr>
        <w:pStyle w:val="CommentText"/>
      </w:pPr>
      <w:r>
        <w:rPr>
          <w:rStyle w:val="CommentReference"/>
        </w:rPr>
        <w:annotationRef/>
      </w:r>
      <w:r>
        <w:t xml:space="preserve">We will need to be </w:t>
      </w:r>
      <w:proofErr w:type="gramStart"/>
      <w:r>
        <w:t>more cl</w:t>
      </w:r>
      <w:r w:rsidR="00DC2556">
        <w:t>e</w:t>
      </w:r>
      <w:r>
        <w:t>ar</w:t>
      </w:r>
      <w:proofErr w:type="gramEnd"/>
      <w:r>
        <w:t xml:space="preserve"> why there is no delta TRP here. What is the difference between applying or not pattern multiplication?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946D509" w15:done="0"/>
  <w15:commentEx w15:paraId="55B459F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946D509" w16cid:durableId="1E72429B"/>
  <w16cid:commentId w16cid:paraId="55B459F0" w16cid:durableId="1E709C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BAD663" w14:textId="77777777" w:rsidR="00D4105F" w:rsidRDefault="00D4105F">
      <w:pPr>
        <w:spacing w:after="0" w:line="240" w:lineRule="auto"/>
      </w:pPr>
      <w:r>
        <w:separator/>
      </w:r>
    </w:p>
  </w:endnote>
  <w:endnote w:type="continuationSeparator" w:id="0">
    <w:p w14:paraId="430BD9BB" w14:textId="77777777" w:rsidR="00D4105F" w:rsidRDefault="00D410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MR10">
    <w:altName w:val="Calibri"/>
    <w:charset w:val="00"/>
    <w:family w:val="auto"/>
    <w:pitch w:val="default"/>
  </w:font>
  <w:font w:name="NimbusRomNo9L-Regu">
    <w:altName w:val="Calibri"/>
    <w:charset w:val="00"/>
    <w:family w:val="auto"/>
    <w:pitch w:val="default"/>
  </w:font>
  <w:font w:name="CMR7">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EEA93" w14:textId="77777777" w:rsidR="00072E5D" w:rsidRDefault="00072E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37C133" w14:textId="77777777" w:rsidR="00D4105F" w:rsidRDefault="00D4105F">
      <w:pPr>
        <w:spacing w:after="0" w:line="240" w:lineRule="auto"/>
      </w:pPr>
      <w:r>
        <w:rPr>
          <w:color w:val="000000"/>
        </w:rPr>
        <w:separator/>
      </w:r>
    </w:p>
  </w:footnote>
  <w:footnote w:type="continuationSeparator" w:id="0">
    <w:p w14:paraId="45149E65" w14:textId="77777777" w:rsidR="00D4105F" w:rsidRDefault="00D410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3A0EAA" w14:textId="77777777" w:rsidR="00072E5D" w:rsidRDefault="00072E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28.8pt;height:11.9pt;visibility:visible;mso-wrap-style:square" o:bullet="t">
        <v:imagedata r:id="rId1" o:title=""/>
      </v:shape>
    </w:pict>
  </w:numPicBullet>
  <w:abstractNum w:abstractNumId="0" w15:restartNumberingAfterBreak="0">
    <w:nsid w:val="0007469D"/>
    <w:multiLevelType w:val="hybridMultilevel"/>
    <w:tmpl w:val="6CC65866"/>
    <w:lvl w:ilvl="0" w:tplc="A4BADD94">
      <w:start w:val="1"/>
      <w:numFmt w:val="bullet"/>
      <w:lvlText w:val=""/>
      <w:lvlPicBulletId w:val="0"/>
      <w:lvlJc w:val="left"/>
      <w:pPr>
        <w:tabs>
          <w:tab w:val="num" w:pos="720"/>
        </w:tabs>
        <w:ind w:left="720" w:hanging="360"/>
      </w:pPr>
      <w:rPr>
        <w:rFonts w:ascii="Symbol" w:hAnsi="Symbol" w:hint="default"/>
      </w:rPr>
    </w:lvl>
    <w:lvl w:ilvl="1" w:tplc="13A04086" w:tentative="1">
      <w:start w:val="1"/>
      <w:numFmt w:val="bullet"/>
      <w:lvlText w:val=""/>
      <w:lvlJc w:val="left"/>
      <w:pPr>
        <w:tabs>
          <w:tab w:val="num" w:pos="1440"/>
        </w:tabs>
        <w:ind w:left="1440" w:hanging="360"/>
      </w:pPr>
      <w:rPr>
        <w:rFonts w:ascii="Symbol" w:hAnsi="Symbol" w:hint="default"/>
      </w:rPr>
    </w:lvl>
    <w:lvl w:ilvl="2" w:tplc="DABE63C0" w:tentative="1">
      <w:start w:val="1"/>
      <w:numFmt w:val="bullet"/>
      <w:lvlText w:val=""/>
      <w:lvlJc w:val="left"/>
      <w:pPr>
        <w:tabs>
          <w:tab w:val="num" w:pos="2160"/>
        </w:tabs>
        <w:ind w:left="2160" w:hanging="360"/>
      </w:pPr>
      <w:rPr>
        <w:rFonts w:ascii="Symbol" w:hAnsi="Symbol" w:hint="default"/>
      </w:rPr>
    </w:lvl>
    <w:lvl w:ilvl="3" w:tplc="51C455A4" w:tentative="1">
      <w:start w:val="1"/>
      <w:numFmt w:val="bullet"/>
      <w:lvlText w:val=""/>
      <w:lvlJc w:val="left"/>
      <w:pPr>
        <w:tabs>
          <w:tab w:val="num" w:pos="2880"/>
        </w:tabs>
        <w:ind w:left="2880" w:hanging="360"/>
      </w:pPr>
      <w:rPr>
        <w:rFonts w:ascii="Symbol" w:hAnsi="Symbol" w:hint="default"/>
      </w:rPr>
    </w:lvl>
    <w:lvl w:ilvl="4" w:tplc="C7243ED4" w:tentative="1">
      <w:start w:val="1"/>
      <w:numFmt w:val="bullet"/>
      <w:lvlText w:val=""/>
      <w:lvlJc w:val="left"/>
      <w:pPr>
        <w:tabs>
          <w:tab w:val="num" w:pos="3600"/>
        </w:tabs>
        <w:ind w:left="3600" w:hanging="360"/>
      </w:pPr>
      <w:rPr>
        <w:rFonts w:ascii="Symbol" w:hAnsi="Symbol" w:hint="default"/>
      </w:rPr>
    </w:lvl>
    <w:lvl w:ilvl="5" w:tplc="997CC578" w:tentative="1">
      <w:start w:val="1"/>
      <w:numFmt w:val="bullet"/>
      <w:lvlText w:val=""/>
      <w:lvlJc w:val="left"/>
      <w:pPr>
        <w:tabs>
          <w:tab w:val="num" w:pos="4320"/>
        </w:tabs>
        <w:ind w:left="4320" w:hanging="360"/>
      </w:pPr>
      <w:rPr>
        <w:rFonts w:ascii="Symbol" w:hAnsi="Symbol" w:hint="default"/>
      </w:rPr>
    </w:lvl>
    <w:lvl w:ilvl="6" w:tplc="1F12768E" w:tentative="1">
      <w:start w:val="1"/>
      <w:numFmt w:val="bullet"/>
      <w:lvlText w:val=""/>
      <w:lvlJc w:val="left"/>
      <w:pPr>
        <w:tabs>
          <w:tab w:val="num" w:pos="5040"/>
        </w:tabs>
        <w:ind w:left="5040" w:hanging="360"/>
      </w:pPr>
      <w:rPr>
        <w:rFonts w:ascii="Symbol" w:hAnsi="Symbol" w:hint="default"/>
      </w:rPr>
    </w:lvl>
    <w:lvl w:ilvl="7" w:tplc="95E883A4" w:tentative="1">
      <w:start w:val="1"/>
      <w:numFmt w:val="bullet"/>
      <w:lvlText w:val=""/>
      <w:lvlJc w:val="left"/>
      <w:pPr>
        <w:tabs>
          <w:tab w:val="num" w:pos="5760"/>
        </w:tabs>
        <w:ind w:left="5760" w:hanging="360"/>
      </w:pPr>
      <w:rPr>
        <w:rFonts w:ascii="Symbol" w:hAnsi="Symbol" w:hint="default"/>
      </w:rPr>
    </w:lvl>
    <w:lvl w:ilvl="8" w:tplc="A5C03B9A"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18E9453C"/>
    <w:multiLevelType w:val="hybridMultilevel"/>
    <w:tmpl w:val="B5E476E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CA26A0"/>
    <w:multiLevelType w:val="multilevel"/>
    <w:tmpl w:val="0B74DC14"/>
    <w:lvl w:ilvl="0">
      <w:start w:val="1"/>
      <w:numFmt w:val="lowerLetter"/>
      <w:lvlText w:val="%1)"/>
      <w:lvlJc w:val="left"/>
      <w:pPr>
        <w:ind w:left="1080" w:hanging="360"/>
      </w:pPr>
    </w:lvl>
    <w:lvl w:ilvl="1">
      <w:start w:val="1"/>
      <w:numFmt w:val="decimal"/>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3774101F"/>
    <w:multiLevelType w:val="multilevel"/>
    <w:tmpl w:val="2CC4D5C2"/>
    <w:lvl w:ilvl="0">
      <w:numFmt w:val="bullet"/>
      <w:lvlText w:val="-"/>
      <w:lvlJc w:val="left"/>
      <w:pPr>
        <w:ind w:left="1485" w:hanging="360"/>
      </w:pPr>
      <w:rPr>
        <w:rFonts w:ascii="Times New Roman" w:eastAsia="Times New Roman" w:hAnsi="Times New Roman" w:cs="Times New Roman"/>
      </w:rPr>
    </w:lvl>
    <w:lvl w:ilvl="1">
      <w:numFmt w:val="bullet"/>
      <w:lvlText w:val="o"/>
      <w:lvlJc w:val="left"/>
      <w:pPr>
        <w:ind w:left="2205" w:hanging="360"/>
      </w:pPr>
      <w:rPr>
        <w:rFonts w:ascii="Courier New" w:hAnsi="Courier New" w:cs="Courier New"/>
      </w:rPr>
    </w:lvl>
    <w:lvl w:ilvl="2">
      <w:numFmt w:val="bullet"/>
      <w:lvlText w:val=""/>
      <w:lvlJc w:val="left"/>
      <w:pPr>
        <w:ind w:left="2925" w:hanging="360"/>
      </w:pPr>
      <w:rPr>
        <w:rFonts w:ascii="Wingdings" w:hAnsi="Wingdings"/>
      </w:rPr>
    </w:lvl>
    <w:lvl w:ilvl="3">
      <w:numFmt w:val="bullet"/>
      <w:lvlText w:val=""/>
      <w:lvlJc w:val="left"/>
      <w:pPr>
        <w:ind w:left="3645" w:hanging="360"/>
      </w:pPr>
      <w:rPr>
        <w:rFonts w:ascii="Symbol" w:hAnsi="Symbol"/>
      </w:rPr>
    </w:lvl>
    <w:lvl w:ilvl="4">
      <w:numFmt w:val="bullet"/>
      <w:lvlText w:val="o"/>
      <w:lvlJc w:val="left"/>
      <w:pPr>
        <w:ind w:left="4365" w:hanging="360"/>
      </w:pPr>
      <w:rPr>
        <w:rFonts w:ascii="Courier New" w:hAnsi="Courier New" w:cs="Courier New"/>
      </w:rPr>
    </w:lvl>
    <w:lvl w:ilvl="5">
      <w:numFmt w:val="bullet"/>
      <w:lvlText w:val=""/>
      <w:lvlJc w:val="left"/>
      <w:pPr>
        <w:ind w:left="5085" w:hanging="360"/>
      </w:pPr>
      <w:rPr>
        <w:rFonts w:ascii="Wingdings" w:hAnsi="Wingdings"/>
      </w:rPr>
    </w:lvl>
    <w:lvl w:ilvl="6">
      <w:numFmt w:val="bullet"/>
      <w:lvlText w:val=""/>
      <w:lvlJc w:val="left"/>
      <w:pPr>
        <w:ind w:left="5805" w:hanging="360"/>
      </w:pPr>
      <w:rPr>
        <w:rFonts w:ascii="Symbol" w:hAnsi="Symbol"/>
      </w:rPr>
    </w:lvl>
    <w:lvl w:ilvl="7">
      <w:numFmt w:val="bullet"/>
      <w:lvlText w:val="o"/>
      <w:lvlJc w:val="left"/>
      <w:pPr>
        <w:ind w:left="6525" w:hanging="360"/>
      </w:pPr>
      <w:rPr>
        <w:rFonts w:ascii="Courier New" w:hAnsi="Courier New" w:cs="Courier New"/>
      </w:rPr>
    </w:lvl>
    <w:lvl w:ilvl="8">
      <w:numFmt w:val="bullet"/>
      <w:lvlText w:val=""/>
      <w:lvlJc w:val="left"/>
      <w:pPr>
        <w:ind w:left="7245" w:hanging="360"/>
      </w:pPr>
      <w:rPr>
        <w:rFonts w:ascii="Wingdings" w:hAnsi="Wingdings"/>
      </w:rPr>
    </w:lvl>
  </w:abstractNum>
  <w:abstractNum w:abstractNumId="4" w15:restartNumberingAfterBreak="0">
    <w:nsid w:val="430443AB"/>
    <w:multiLevelType w:val="hybridMultilevel"/>
    <w:tmpl w:val="5BF65C1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5" w15:restartNumberingAfterBreak="0">
    <w:nsid w:val="4C5C323C"/>
    <w:multiLevelType w:val="multilevel"/>
    <w:tmpl w:val="EB40BC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50B61619"/>
    <w:multiLevelType w:val="hybridMultilevel"/>
    <w:tmpl w:val="F378DB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6705FCC"/>
    <w:multiLevelType w:val="multilevel"/>
    <w:tmpl w:val="CD0CD404"/>
    <w:lvl w:ilvl="0">
      <w:start w:val="1"/>
      <w:numFmt w:val="lowerLetter"/>
      <w:lvlText w:val="%1)"/>
      <w:lvlJc w:val="left"/>
      <w:pPr>
        <w:ind w:left="1080" w:hanging="360"/>
      </w:pPr>
    </w:lvl>
    <w:lvl w:ilvl="1">
      <w:start w:val="1"/>
      <w:numFmt w:val="decimal"/>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73431B26"/>
    <w:multiLevelType w:val="multilevel"/>
    <w:tmpl w:val="6A164C4C"/>
    <w:styleLink w:val="LFO22"/>
    <w:lvl w:ilvl="0">
      <w:start w:val="1"/>
      <w:numFmt w:val="decimal"/>
      <w:pStyle w:val="Reference"/>
      <w:lvlText w:val="[%1]"/>
      <w:lvlJc w:val="left"/>
      <w:pPr>
        <w:ind w:left="567"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8"/>
  </w:num>
  <w:num w:numId="2">
    <w:abstractNumId w:val="7"/>
  </w:num>
  <w:num w:numId="3">
    <w:abstractNumId w:val="2"/>
  </w:num>
  <w:num w:numId="4">
    <w:abstractNumId w:val="3"/>
  </w:num>
  <w:num w:numId="5">
    <w:abstractNumId w:val="5"/>
  </w:num>
  <w:num w:numId="6">
    <w:abstractNumId w:val="5"/>
    <w:lvlOverride w:ilvl="0">
      <w:startOverride w:val="1"/>
    </w:lvlOverride>
    <w:lvlOverride w:ilvl="1">
      <w:startOverride w:val="1"/>
    </w:lvlOverride>
    <w:lvlOverride w:ilvl="2">
      <w:startOverride w:val="1"/>
    </w:lvlOverride>
  </w:num>
  <w:num w:numId="7">
    <w:abstractNumId w:val="0"/>
  </w:num>
  <w:num w:numId="8">
    <w:abstractNumId w:val="6"/>
  </w:num>
  <w:num w:numId="9">
    <w:abstractNumId w:val="4"/>
  </w:num>
  <w:num w:numId="1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relian Bria">
    <w15:presenceInfo w15:providerId="AD" w15:userId="S-1-5-21-1538607324-3213881460-940295383-3559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0E94"/>
    <w:rsid w:val="00053342"/>
    <w:rsid w:val="00072E5D"/>
    <w:rsid w:val="000C5208"/>
    <w:rsid w:val="001462B4"/>
    <w:rsid w:val="001473E0"/>
    <w:rsid w:val="00187034"/>
    <w:rsid w:val="002A51F2"/>
    <w:rsid w:val="00340DED"/>
    <w:rsid w:val="00395FA4"/>
    <w:rsid w:val="003F6DB8"/>
    <w:rsid w:val="00412BC4"/>
    <w:rsid w:val="00454AA2"/>
    <w:rsid w:val="004C69BD"/>
    <w:rsid w:val="004D0A86"/>
    <w:rsid w:val="00522819"/>
    <w:rsid w:val="0055021F"/>
    <w:rsid w:val="00572E07"/>
    <w:rsid w:val="00581C99"/>
    <w:rsid w:val="0058379A"/>
    <w:rsid w:val="005D513B"/>
    <w:rsid w:val="005E4BFA"/>
    <w:rsid w:val="00631011"/>
    <w:rsid w:val="00665395"/>
    <w:rsid w:val="00694352"/>
    <w:rsid w:val="00694C22"/>
    <w:rsid w:val="006F0B65"/>
    <w:rsid w:val="006F431F"/>
    <w:rsid w:val="00716A66"/>
    <w:rsid w:val="00835599"/>
    <w:rsid w:val="008B3E39"/>
    <w:rsid w:val="00933025"/>
    <w:rsid w:val="00933E04"/>
    <w:rsid w:val="00940FE0"/>
    <w:rsid w:val="00945A6B"/>
    <w:rsid w:val="009A32DF"/>
    <w:rsid w:val="009F1D14"/>
    <w:rsid w:val="00A506A5"/>
    <w:rsid w:val="00AB3954"/>
    <w:rsid w:val="00AD7DF3"/>
    <w:rsid w:val="00AE46EE"/>
    <w:rsid w:val="00B97FAF"/>
    <w:rsid w:val="00BA17B1"/>
    <w:rsid w:val="00C40D78"/>
    <w:rsid w:val="00C5027F"/>
    <w:rsid w:val="00C567E3"/>
    <w:rsid w:val="00C62ED7"/>
    <w:rsid w:val="00C67111"/>
    <w:rsid w:val="00C76FBB"/>
    <w:rsid w:val="00CA75F7"/>
    <w:rsid w:val="00CD223A"/>
    <w:rsid w:val="00D21490"/>
    <w:rsid w:val="00D30E94"/>
    <w:rsid w:val="00D3518A"/>
    <w:rsid w:val="00D4105F"/>
    <w:rsid w:val="00DB197A"/>
    <w:rsid w:val="00DC2556"/>
    <w:rsid w:val="00E0579B"/>
    <w:rsid w:val="00E24238"/>
    <w:rsid w:val="00E245F8"/>
    <w:rsid w:val="00E7674A"/>
    <w:rsid w:val="00E90BEF"/>
    <w:rsid w:val="00FC71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19A145"/>
  <w15:docId w15:val="{01D4B2B7-1211-461B-96C5-BB01932B9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MS Mincho" w:hAnsi="Calibri" w:cs="Times New Roman"/>
        <w:lang w:val="en-US" w:eastAsia="en-US" w:bidi="ar-SA"/>
      </w:rPr>
    </w:rPrDefault>
    <w:pPrDefault>
      <w:pPr>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pPr>
      <w:suppressAutoHyphens/>
      <w:spacing w:after="200" w:line="276" w:lineRule="auto"/>
    </w:pPr>
    <w:rPr>
      <w:sz w:val="22"/>
      <w:szCs w:val="22"/>
      <w:lang w:val="en-CA"/>
    </w:rPr>
  </w:style>
  <w:style w:type="paragraph" w:styleId="Heading1">
    <w:name w:val="heading 1"/>
    <w:next w:val="Normal"/>
    <w:pPr>
      <w:keepNext/>
      <w:keepLines/>
      <w:pBdr>
        <w:top w:val="single" w:sz="12" w:space="3" w:color="000000"/>
      </w:pBdr>
      <w:suppressAutoHyphens/>
      <w:spacing w:before="240" w:after="180"/>
      <w:ind w:left="1134" w:hanging="1134"/>
      <w:outlineLvl w:val="0"/>
    </w:pPr>
    <w:rPr>
      <w:rFonts w:ascii="Arial" w:eastAsia="Times New Roman" w:hAnsi="Arial"/>
      <w:sz w:val="36"/>
      <w:lang w:val="en-GB" w:eastAsia="en-CA"/>
    </w:rPr>
  </w:style>
  <w:style w:type="paragraph" w:styleId="Heading2">
    <w:name w:val="heading 2"/>
    <w:basedOn w:val="Normal"/>
    <w:next w:val="Normal"/>
    <w:pPr>
      <w:keepNext/>
      <w:spacing w:before="240" w:after="60"/>
      <w:outlineLvl w:val="1"/>
    </w:pPr>
    <w:rPr>
      <w:rFonts w:ascii="Calibri Light" w:eastAsia="Times New Roman" w:hAnsi="Calibri Light"/>
      <w:b/>
      <w:bCs/>
      <w:i/>
      <w:iCs/>
      <w:sz w:val="28"/>
      <w:szCs w:val="28"/>
    </w:rPr>
  </w:style>
  <w:style w:type="paragraph" w:styleId="Heading3">
    <w:name w:val="heading 3"/>
    <w:basedOn w:val="Normal"/>
    <w:next w:val="Normal"/>
    <w:pPr>
      <w:keepNext/>
      <w:spacing w:before="240" w:after="60"/>
      <w:outlineLvl w:val="2"/>
    </w:pPr>
    <w:rPr>
      <w:rFonts w:ascii="Cambria" w:eastAsia="Times New Roman" w:hAnsi="Cambria"/>
      <w:b/>
      <w:bCs/>
      <w:sz w:val="26"/>
      <w:szCs w:val="26"/>
    </w:rPr>
  </w:style>
  <w:style w:type="paragraph" w:styleId="Heading4">
    <w:name w:val="heading 4"/>
    <w:basedOn w:val="Normal"/>
    <w:next w:val="Normal"/>
    <w:pPr>
      <w:keepNext/>
      <w:spacing w:before="240" w:after="60"/>
      <w:outlineLvl w:val="3"/>
    </w:pPr>
    <w:rPr>
      <w:rFonts w:eastAsia="Times New Roman"/>
      <w:b/>
      <w:bCs/>
      <w:sz w:val="28"/>
      <w:szCs w:val="28"/>
    </w:rPr>
  </w:style>
  <w:style w:type="paragraph" w:styleId="Heading5">
    <w:name w:val="heading 5"/>
    <w:basedOn w:val="Normal"/>
    <w:next w:val="Normal"/>
    <w:pPr>
      <w:spacing w:before="240" w:after="60"/>
      <w:outlineLvl w:val="4"/>
    </w:pPr>
    <w:rPr>
      <w:rFonts w:eastAsia="Times New Roman"/>
      <w:b/>
      <w:bCs/>
      <w:i/>
      <w:iCs/>
      <w:sz w:val="26"/>
      <w:szCs w:val="26"/>
    </w:rPr>
  </w:style>
  <w:style w:type="paragraph" w:styleId="Heading6">
    <w:name w:val="heading 6"/>
    <w:basedOn w:val="Normal"/>
    <w:next w:val="Normal"/>
    <w:pPr>
      <w:spacing w:before="240" w:after="60"/>
      <w:outlineLvl w:val="5"/>
    </w:pPr>
    <w:rPr>
      <w:rFonts w:eastAsia="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rPr>
      <w:rFonts w:ascii="Arial" w:eastAsia="Times New Roman" w:hAnsi="Arial"/>
      <w:sz w:val="36"/>
      <w:lang w:val="en-GB" w:bidi="ar-SA"/>
    </w:rPr>
  </w:style>
  <w:style w:type="paragraph" w:styleId="Header">
    <w:name w:val="header"/>
    <w:pPr>
      <w:widowControl w:val="0"/>
      <w:suppressAutoHyphens/>
    </w:pPr>
    <w:rPr>
      <w:rFonts w:ascii="Arial" w:eastAsia="Times New Roman" w:hAnsi="Arial"/>
      <w:b/>
      <w:sz w:val="18"/>
      <w:lang w:val="en-GB" w:eastAsia="en-CA"/>
    </w:rPr>
  </w:style>
  <w:style w:type="character" w:customStyle="1" w:styleId="HeaderChar">
    <w:name w:val="Header Char"/>
    <w:rPr>
      <w:rFonts w:ascii="Arial" w:eastAsia="Times New Roman" w:hAnsi="Arial"/>
      <w:b/>
      <w:sz w:val="18"/>
      <w:lang w:val="en-GB" w:bidi="ar-SA"/>
    </w:rPr>
  </w:style>
  <w:style w:type="paragraph" w:styleId="ListParagraph">
    <w:name w:val="List Paragraph"/>
    <w:basedOn w:val="Normal"/>
    <w:pPr>
      <w:ind w:left="720"/>
    </w:pPr>
  </w:style>
  <w:style w:type="character" w:styleId="CommentReference">
    <w:name w:val="annotation reference"/>
    <w:rPr>
      <w:sz w:val="16"/>
      <w:szCs w:val="16"/>
    </w:rPr>
  </w:style>
  <w:style w:type="paragraph" w:styleId="CommentText">
    <w:name w:val="annotation text"/>
    <w:basedOn w:val="Normal"/>
    <w:pPr>
      <w:spacing w:line="240" w:lineRule="auto"/>
    </w:pPr>
    <w:rPr>
      <w:rFonts w:eastAsia="Calibri"/>
      <w:sz w:val="20"/>
      <w:szCs w:val="20"/>
    </w:rPr>
  </w:style>
  <w:style w:type="character" w:customStyle="1" w:styleId="CommentTextChar">
    <w:name w:val="Comment Text Char"/>
    <w:rPr>
      <w:rFonts w:ascii="Calibri" w:eastAsia="Calibri" w:hAnsi="Calibri" w:cs="Times New Roman"/>
      <w:sz w:val="20"/>
      <w:szCs w:val="20"/>
    </w:rPr>
  </w:style>
  <w:style w:type="paragraph" w:styleId="CommentSubject">
    <w:name w:val="annotation subject"/>
    <w:basedOn w:val="CommentText"/>
    <w:next w:val="CommentText"/>
    <w:rPr>
      <w:b/>
      <w:bCs/>
    </w:rPr>
  </w:style>
  <w:style w:type="character" w:customStyle="1" w:styleId="CommentSubjectChar">
    <w:name w:val="Comment Subject Char"/>
    <w:rPr>
      <w:rFonts w:ascii="Calibri" w:eastAsia="Calibri" w:hAnsi="Calibri" w:cs="Times New Roman"/>
      <w:b/>
      <w:bCs/>
      <w:sz w:val="20"/>
      <w:szCs w:val="20"/>
    </w:rPr>
  </w:style>
  <w:style w:type="paragraph" w:styleId="BalloonText">
    <w:name w:val="Balloon Text"/>
    <w:basedOn w:val="Normal"/>
    <w:pPr>
      <w:spacing w:after="0" w:line="240" w:lineRule="auto"/>
    </w:pPr>
    <w:rPr>
      <w:rFonts w:ascii="Tahoma" w:eastAsia="Calibri" w:hAnsi="Tahoma"/>
      <w:sz w:val="16"/>
      <w:szCs w:val="16"/>
    </w:rPr>
  </w:style>
  <w:style w:type="character" w:customStyle="1" w:styleId="BalloonTextChar">
    <w:name w:val="Balloon Text Char"/>
    <w:rPr>
      <w:rFonts w:ascii="Tahoma" w:eastAsia="Calibri" w:hAnsi="Tahoma" w:cs="Tahoma"/>
      <w:sz w:val="16"/>
      <w:szCs w:val="16"/>
    </w:rPr>
  </w:style>
  <w:style w:type="paragraph" w:styleId="Caption">
    <w:name w:val="caption"/>
    <w:basedOn w:val="Normal"/>
    <w:next w:val="Normal"/>
    <w:pPr>
      <w:spacing w:line="240" w:lineRule="auto"/>
    </w:pPr>
    <w:rPr>
      <w:b/>
      <w:bCs/>
      <w:color w:val="4F81BD"/>
      <w:sz w:val="18"/>
      <w:szCs w:val="18"/>
    </w:rPr>
  </w:style>
  <w:style w:type="character" w:customStyle="1" w:styleId="TALChar">
    <w:name w:val="TAL Char"/>
    <w:rPr>
      <w:rFonts w:ascii="Arial" w:hAnsi="Arial" w:cs="Arial"/>
      <w:sz w:val="18"/>
      <w:lang w:val="en-GB"/>
    </w:rPr>
  </w:style>
  <w:style w:type="paragraph" w:customStyle="1" w:styleId="TAL">
    <w:name w:val="TAL"/>
    <w:basedOn w:val="Normal"/>
    <w:pPr>
      <w:keepNext/>
      <w:keepLines/>
      <w:overflowPunct w:val="0"/>
      <w:autoSpaceDE w:val="0"/>
      <w:spacing w:after="0" w:line="240" w:lineRule="auto"/>
    </w:pPr>
    <w:rPr>
      <w:rFonts w:ascii="Arial" w:hAnsi="Arial"/>
      <w:sz w:val="18"/>
      <w:szCs w:val="20"/>
      <w:lang w:val="en-GB"/>
    </w:rPr>
  </w:style>
  <w:style w:type="character" w:customStyle="1" w:styleId="TACChar">
    <w:name w:val="TAC Char"/>
    <w:rPr>
      <w:rFonts w:ascii="Arial" w:hAnsi="Arial" w:cs="Arial"/>
      <w:sz w:val="18"/>
      <w:lang w:val="en-GB"/>
    </w:rPr>
  </w:style>
  <w:style w:type="paragraph" w:customStyle="1" w:styleId="TAC">
    <w:name w:val="TAC"/>
    <w:basedOn w:val="TAL"/>
    <w:pPr>
      <w:jc w:val="center"/>
    </w:pPr>
  </w:style>
  <w:style w:type="character" w:customStyle="1" w:styleId="THChar">
    <w:name w:val="TH Char"/>
    <w:rPr>
      <w:rFonts w:ascii="Arial" w:hAnsi="Arial" w:cs="Arial"/>
      <w:b/>
      <w:lang w:val="en-GB"/>
    </w:rPr>
  </w:style>
  <w:style w:type="paragraph" w:customStyle="1" w:styleId="TH">
    <w:name w:val="TH"/>
    <w:basedOn w:val="Normal"/>
    <w:pPr>
      <w:keepNext/>
      <w:keepLines/>
      <w:overflowPunct w:val="0"/>
      <w:autoSpaceDE w:val="0"/>
      <w:spacing w:before="60" w:after="180" w:line="240" w:lineRule="auto"/>
      <w:jc w:val="center"/>
    </w:pPr>
    <w:rPr>
      <w:rFonts w:ascii="Arial" w:hAnsi="Arial"/>
      <w:b/>
      <w:sz w:val="20"/>
      <w:szCs w:val="20"/>
      <w:lang w:val="en-GB"/>
    </w:rPr>
  </w:style>
  <w:style w:type="paragraph" w:customStyle="1" w:styleId="TAH">
    <w:name w:val="TAH"/>
    <w:basedOn w:val="TAC"/>
    <w:rPr>
      <w:b/>
    </w:rPr>
  </w:style>
  <w:style w:type="character" w:customStyle="1" w:styleId="TAHCar">
    <w:name w:val="TAH Car"/>
    <w:rPr>
      <w:rFonts w:ascii="Arial" w:hAnsi="Arial" w:cs="Arial"/>
      <w:b/>
      <w:sz w:val="18"/>
      <w:lang w:val="en-GB"/>
    </w:rPr>
  </w:style>
  <w:style w:type="character" w:customStyle="1" w:styleId="Heading3Char">
    <w:name w:val="Heading 3 Char"/>
    <w:rPr>
      <w:rFonts w:ascii="Cambria" w:eastAsia="Times New Roman" w:hAnsi="Cambria" w:cs="Times New Roman"/>
      <w:b/>
      <w:bCs/>
      <w:sz w:val="26"/>
      <w:szCs w:val="26"/>
      <w:lang w:val="en-CA" w:eastAsia="en-US"/>
    </w:rPr>
  </w:style>
  <w:style w:type="character" w:customStyle="1" w:styleId="Heading4Char">
    <w:name w:val="Heading 4 Char"/>
    <w:rPr>
      <w:rFonts w:ascii="Calibri" w:eastAsia="Times New Roman" w:hAnsi="Calibri" w:cs="Times New Roman"/>
      <w:b/>
      <w:bCs/>
      <w:sz w:val="28"/>
      <w:szCs w:val="28"/>
      <w:lang w:val="en-CA" w:eastAsia="en-US"/>
    </w:rPr>
  </w:style>
  <w:style w:type="paragraph" w:styleId="Revision">
    <w:name w:val="Revision"/>
    <w:pPr>
      <w:suppressAutoHyphens/>
    </w:pPr>
    <w:rPr>
      <w:sz w:val="22"/>
      <w:szCs w:val="22"/>
      <w:lang w:val="en-CA"/>
    </w:rPr>
  </w:style>
  <w:style w:type="character" w:customStyle="1" w:styleId="Heading5Char">
    <w:name w:val="Heading 5 Char"/>
    <w:rPr>
      <w:rFonts w:ascii="Calibri" w:eastAsia="Times New Roman" w:hAnsi="Calibri" w:cs="Times New Roman"/>
      <w:b/>
      <w:bCs/>
      <w:i/>
      <w:iCs/>
      <w:sz w:val="26"/>
      <w:szCs w:val="26"/>
      <w:lang w:eastAsia="en-US"/>
    </w:rPr>
  </w:style>
  <w:style w:type="character" w:customStyle="1" w:styleId="Heading6Char">
    <w:name w:val="Heading 6 Char"/>
    <w:rPr>
      <w:rFonts w:ascii="Calibri" w:eastAsia="Times New Roman" w:hAnsi="Calibri" w:cs="Times New Roman"/>
      <w:b/>
      <w:bCs/>
      <w:sz w:val="22"/>
      <w:szCs w:val="22"/>
      <w:lang w:eastAsia="en-US"/>
    </w:rPr>
  </w:style>
  <w:style w:type="paragraph" w:customStyle="1" w:styleId="Guidance">
    <w:name w:val="Guidance"/>
    <w:basedOn w:val="Normal"/>
    <w:pPr>
      <w:spacing w:after="180" w:line="240" w:lineRule="auto"/>
    </w:pPr>
    <w:rPr>
      <w:rFonts w:ascii="Times New Roman" w:eastAsia="SimSun" w:hAnsi="Times New Roman"/>
      <w:i/>
      <w:color w:val="0000FF"/>
      <w:sz w:val="20"/>
      <w:szCs w:val="20"/>
      <w:lang w:val="en-GB"/>
    </w:rPr>
  </w:style>
  <w:style w:type="character" w:customStyle="1" w:styleId="GuidanceChar">
    <w:name w:val="Guidance Char"/>
    <w:rPr>
      <w:rFonts w:ascii="Times New Roman" w:eastAsia="SimSun" w:hAnsi="Times New Roman"/>
      <w:i/>
      <w:color w:val="0000FF"/>
      <w:lang w:val="en-GB" w:eastAsia="en-US"/>
    </w:rPr>
  </w:style>
  <w:style w:type="paragraph" w:customStyle="1" w:styleId="BodyBest">
    <w:name w:val="BodyBest"/>
    <w:basedOn w:val="Normal"/>
    <w:pPr>
      <w:spacing w:before="240" w:after="0" w:line="240" w:lineRule="auto"/>
      <w:ind w:left="540"/>
      <w:jc w:val="both"/>
    </w:pPr>
    <w:rPr>
      <w:rFonts w:ascii="Arial" w:hAnsi="Arial"/>
      <w:sz w:val="20"/>
      <w:szCs w:val="20"/>
      <w:lang w:val="en-US"/>
    </w:rPr>
  </w:style>
  <w:style w:type="character" w:customStyle="1" w:styleId="BodyBestChar">
    <w:name w:val="BodyBest Char"/>
    <w:rPr>
      <w:rFonts w:ascii="Arial" w:eastAsia="MS Mincho" w:hAnsi="Arial" w:cs="Arial"/>
      <w:lang w:val="en-US" w:eastAsia="en-US"/>
    </w:rPr>
  </w:style>
  <w:style w:type="paragraph" w:customStyle="1" w:styleId="3GPPHeader">
    <w:name w:val="3GPP_Header"/>
    <w:basedOn w:val="Normal"/>
    <w:pPr>
      <w:tabs>
        <w:tab w:val="left" w:pos="1701"/>
        <w:tab w:val="right" w:pos="9639"/>
      </w:tabs>
      <w:overflowPunct w:val="0"/>
      <w:autoSpaceDE w:val="0"/>
      <w:spacing w:after="240" w:line="240" w:lineRule="auto"/>
      <w:jc w:val="both"/>
    </w:pPr>
    <w:rPr>
      <w:rFonts w:ascii="Arial" w:eastAsia="Times New Roman" w:hAnsi="Arial"/>
      <w:b/>
      <w:sz w:val="24"/>
      <w:szCs w:val="20"/>
      <w:lang w:val="en-GB" w:eastAsia="zh-CN"/>
    </w:rPr>
  </w:style>
  <w:style w:type="paragraph" w:styleId="BodyText">
    <w:name w:val="Body Text"/>
    <w:basedOn w:val="Normal"/>
    <w:pPr>
      <w:spacing w:after="120" w:line="240" w:lineRule="auto"/>
    </w:pPr>
    <w:rPr>
      <w:rFonts w:ascii="Times New Roman" w:eastAsia="Times New Roman" w:hAnsi="Times New Roman"/>
      <w:sz w:val="20"/>
      <w:szCs w:val="20"/>
      <w:lang w:val="en-GB"/>
    </w:rPr>
  </w:style>
  <w:style w:type="character" w:customStyle="1" w:styleId="BodyTextChar">
    <w:name w:val="Body Text Char"/>
    <w:rPr>
      <w:rFonts w:ascii="Times New Roman" w:eastAsia="Times New Roman" w:hAnsi="Times New Roman"/>
      <w:lang w:val="en-GB" w:eastAsia="en-US"/>
    </w:rPr>
  </w:style>
  <w:style w:type="paragraph" w:customStyle="1" w:styleId="Reference">
    <w:name w:val="Reference"/>
    <w:basedOn w:val="Normal"/>
    <w:pPr>
      <w:numPr>
        <w:numId w:val="1"/>
      </w:numPr>
      <w:overflowPunct w:val="0"/>
      <w:autoSpaceDE w:val="0"/>
      <w:spacing w:after="120" w:line="240" w:lineRule="auto"/>
      <w:jc w:val="both"/>
    </w:pPr>
    <w:rPr>
      <w:rFonts w:ascii="Arial" w:eastAsia="Times New Roman" w:hAnsi="Arial"/>
      <w:sz w:val="20"/>
      <w:szCs w:val="20"/>
      <w:lang w:val="en-GB" w:eastAsia="zh-CN"/>
    </w:rPr>
  </w:style>
  <w:style w:type="paragraph" w:styleId="Footer">
    <w:name w:val="footer"/>
    <w:basedOn w:val="Normal"/>
    <w:pPr>
      <w:tabs>
        <w:tab w:val="center" w:pos="4252"/>
        <w:tab w:val="right" w:pos="8504"/>
      </w:tabs>
      <w:snapToGrid w:val="0"/>
    </w:pPr>
  </w:style>
  <w:style w:type="character" w:customStyle="1" w:styleId="FooterChar">
    <w:name w:val="Footer Char"/>
    <w:rPr>
      <w:sz w:val="22"/>
      <w:szCs w:val="22"/>
      <w:lang w:val="en-CA" w:eastAsia="en-US"/>
    </w:rPr>
  </w:style>
  <w:style w:type="paragraph" w:customStyle="1" w:styleId="IvDInstructiontext">
    <w:name w:val="IvD Instructiontext"/>
    <w:basedOn w:val="BodyText"/>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spacing w:val="2"/>
      <w:sz w:val="18"/>
      <w:szCs w:val="18"/>
      <w:lang w:val="en-US"/>
    </w:rPr>
  </w:style>
  <w:style w:type="character" w:customStyle="1" w:styleId="IvDInstructiontextChar">
    <w:name w:val="IvD Instructiontext Char"/>
    <w:rPr>
      <w:rFonts w:ascii="Arial" w:eastAsia="Times New Roman" w:hAnsi="Arial"/>
      <w:i/>
      <w:color w:val="7F7F7F"/>
      <w:spacing w:val="2"/>
      <w:sz w:val="18"/>
      <w:szCs w:val="18"/>
      <w:lang w:val="en-US" w:eastAsia="en-US"/>
    </w:rPr>
  </w:style>
  <w:style w:type="paragraph" w:customStyle="1" w:styleId="IvDbodytext">
    <w:name w:val="IvD bodytext"/>
    <w:basedOn w:val="BodyText"/>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rPr>
      <w:rFonts w:ascii="Arial" w:eastAsia="Times New Roman" w:hAnsi="Arial"/>
      <w:spacing w:val="2"/>
      <w:lang w:val="en-US" w:eastAsia="en-US"/>
    </w:rPr>
  </w:style>
  <w:style w:type="paragraph" w:customStyle="1" w:styleId="TF">
    <w:name w:val="TF"/>
    <w:basedOn w:val="Normal"/>
    <w:pPr>
      <w:keepLines/>
      <w:overflowPunct w:val="0"/>
      <w:autoSpaceDE w:val="0"/>
      <w:spacing w:after="240" w:line="240" w:lineRule="auto"/>
      <w:jc w:val="center"/>
    </w:pPr>
    <w:rPr>
      <w:rFonts w:ascii="Arial" w:eastAsia="Malgun Gothic" w:hAnsi="Arial"/>
      <w:b/>
      <w:sz w:val="20"/>
      <w:szCs w:val="20"/>
      <w:lang w:val="en-GB" w:eastAsia="en-CA"/>
    </w:rPr>
  </w:style>
  <w:style w:type="character" w:customStyle="1" w:styleId="TFChar">
    <w:name w:val="TF Char"/>
    <w:rPr>
      <w:rFonts w:ascii="Arial" w:eastAsia="Malgun Gothic" w:hAnsi="Arial"/>
      <w:b/>
      <w:lang w:val="en-GB"/>
    </w:rPr>
  </w:style>
  <w:style w:type="character" w:customStyle="1" w:styleId="Heading2Char">
    <w:name w:val="Heading 2 Char"/>
    <w:rPr>
      <w:rFonts w:ascii="Calibri Light" w:eastAsia="Times New Roman" w:hAnsi="Calibri Light" w:cs="Times New Roman"/>
      <w:b/>
      <w:bCs/>
      <w:i/>
      <w:iCs/>
      <w:sz w:val="28"/>
      <w:szCs w:val="28"/>
      <w:lang w:eastAsia="en-US"/>
    </w:rPr>
  </w:style>
  <w:style w:type="character" w:customStyle="1" w:styleId="B-BodyChar">
    <w:name w:val="B-Body Char"/>
    <w:basedOn w:val="DefaultParagraphFont"/>
    <w:rPr>
      <w:rFonts w:ascii="Times New Roman" w:eastAsia="Times New Roman" w:hAnsi="Times New Roman"/>
    </w:rPr>
  </w:style>
  <w:style w:type="paragraph" w:customStyle="1" w:styleId="B-Body">
    <w:name w:val="B-Body"/>
    <w:pPr>
      <w:tabs>
        <w:tab w:val="left" w:pos="2160"/>
      </w:tabs>
      <w:suppressAutoHyphens/>
      <w:spacing w:before="120" w:after="40"/>
      <w:ind w:left="720"/>
    </w:pPr>
    <w:rPr>
      <w:rFonts w:ascii="Times New Roman" w:eastAsia="Times New Roman" w:hAnsi="Times New Roman"/>
    </w:rPr>
  </w:style>
  <w:style w:type="paragraph" w:customStyle="1" w:styleId="E-Equation">
    <w:name w:val="E-Equation"/>
    <w:pPr>
      <w:tabs>
        <w:tab w:val="left" w:pos="1440"/>
        <w:tab w:val="center" w:pos="4680"/>
        <w:tab w:val="right" w:pos="9360"/>
      </w:tabs>
      <w:suppressAutoHyphens/>
      <w:ind w:left="720" w:right="1440"/>
    </w:pPr>
    <w:rPr>
      <w:rFonts w:ascii="Times New Roman" w:eastAsia="Times New Roman" w:hAnsi="Times New Roman"/>
      <w:sz w:val="22"/>
    </w:rPr>
  </w:style>
  <w:style w:type="character" w:customStyle="1" w:styleId="CaptionChar">
    <w:name w:val="Caption Char"/>
    <w:basedOn w:val="DefaultParagraphFont"/>
    <w:rPr>
      <w:b/>
      <w:bCs/>
      <w:color w:val="4F81BD"/>
      <w:sz w:val="18"/>
      <w:szCs w:val="18"/>
      <w:lang w:val="en-CA"/>
    </w:rPr>
  </w:style>
  <w:style w:type="character" w:styleId="PlaceholderText">
    <w:name w:val="Placeholder Text"/>
    <w:basedOn w:val="DefaultParagraphFont"/>
    <w:rPr>
      <w:color w:val="808080"/>
    </w:rPr>
  </w:style>
  <w:style w:type="numbering" w:customStyle="1" w:styleId="LFO22">
    <w:name w:val="LFO22"/>
    <w:basedOn w:val="NoList"/>
    <w:pPr>
      <w:numPr>
        <w:numId w:val="1"/>
      </w:numPr>
    </w:pPr>
  </w:style>
  <w:style w:type="character" w:styleId="Hyperlink">
    <w:name w:val="Hyperlink"/>
    <w:basedOn w:val="DefaultParagraphFont"/>
    <w:uiPriority w:val="99"/>
    <w:unhideWhenUsed/>
    <w:rsid w:val="00072E5D"/>
    <w:rPr>
      <w:color w:val="0563C1" w:themeColor="hyperlink"/>
      <w:u w:val="single"/>
    </w:rPr>
  </w:style>
  <w:style w:type="character" w:styleId="UnresolvedMention">
    <w:name w:val="Unresolved Mention"/>
    <w:basedOn w:val="DefaultParagraphFont"/>
    <w:uiPriority w:val="99"/>
    <w:semiHidden/>
    <w:unhideWhenUsed/>
    <w:rsid w:val="00072E5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38572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microsoft.com/office/2011/relationships/commentsExtended" Target="commentsExtended.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emf"/><Relationship Id="rId40" Type="http://schemas.microsoft.com/office/2016/09/relationships/commentsIds" Target="commentsIds.xml"/><Relationship Id="rId45" Type="http://schemas.openxmlformats.org/officeDocument/2006/relationships/image" Target="media/image34.emf"/><Relationship Id="rId53" Type="http://schemas.openxmlformats.org/officeDocument/2006/relationships/image" Target="media/image42.png"/><Relationship Id="rId58" Type="http://schemas.openxmlformats.org/officeDocument/2006/relationships/image" Target="media/image47.emf"/><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0.png"/><Relationship Id="rId82"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en.wikipedia.org/wiki/Euler_angles"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hyperlink" Target="https://arxiv.org/abs/1803.10993" TargetMode="Externa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comments" Target="comments.xml"/><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0.emf"/><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8.emf"/><Relationship Id="rId57" Type="http://schemas.openxmlformats.org/officeDocument/2006/relationships/image" Target="media/image4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7343BB-C0CF-44D6-980F-E99AC85B07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425</TotalTime>
  <Pages>26</Pages>
  <Words>5643</Words>
  <Characters>32168</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Aurelian Bria</dc:creator>
  <cp:lastModifiedBy>Aurelian Bria</cp:lastModifiedBy>
  <cp:revision>15</cp:revision>
  <cp:lastPrinted>2018-02-19T09:56:00Z</cp:lastPrinted>
  <dcterms:created xsi:type="dcterms:W3CDTF">2018-04-05T10:32:00Z</dcterms:created>
  <dcterms:modified xsi:type="dcterms:W3CDTF">2018-04-06T20:46:00Z</dcterms:modified>
</cp:coreProperties>
</file>